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20D2" w14:textId="6C519023" w:rsidR="008A5CF4" w:rsidRPr="0063060C" w:rsidRDefault="00D87F88" w:rsidP="0063060C">
      <w:pPr>
        <w:spacing w:line="264" w:lineRule="auto"/>
        <w:contextualSpacing/>
        <w:jc w:val="center"/>
        <w:rPr>
          <w:rFonts w:ascii="Arial" w:hAnsi="Arial" w:cs="Arial"/>
          <w:b/>
          <w:smallCaps/>
          <w:sz w:val="28"/>
          <w:szCs w:val="28"/>
          <w:u w:val="single"/>
        </w:rPr>
      </w:pPr>
      <w:r>
        <w:rPr>
          <w:rFonts w:ascii="Arial" w:hAnsi="Arial" w:cs="Arial"/>
          <w:b/>
          <w:smallCaps/>
          <w:sz w:val="28"/>
          <w:szCs w:val="28"/>
          <w:u w:val="single"/>
        </w:rPr>
        <w:t>TRANSIT</w:t>
      </w:r>
    </w:p>
    <w:p w14:paraId="038CC267" w14:textId="3CF67283" w:rsidR="0063060C" w:rsidRPr="0063060C" w:rsidRDefault="0063060C" w:rsidP="0063060C">
      <w:pPr>
        <w:spacing w:line="264" w:lineRule="auto"/>
        <w:contextualSpacing/>
        <w:jc w:val="center"/>
        <w:rPr>
          <w:rFonts w:ascii="Arial" w:hAnsi="Arial" w:cs="Arial"/>
          <w:b/>
          <w:sz w:val="28"/>
          <w:szCs w:val="28"/>
        </w:rPr>
      </w:pPr>
      <w:r>
        <w:rPr>
          <w:rFonts w:ascii="Arial" w:hAnsi="Arial" w:cs="Arial"/>
          <w:smallCaps/>
          <w:szCs w:val="24"/>
        </w:rPr>
        <w:t xml:space="preserve">Analyst: </w:t>
      </w:r>
      <w:r w:rsidR="00D87F88">
        <w:rPr>
          <w:rFonts w:ascii="Arial" w:hAnsi="Arial" w:cs="Arial"/>
          <w:smallCaps/>
          <w:szCs w:val="24"/>
        </w:rPr>
        <w:t>Mary Bourguignon</w:t>
      </w:r>
    </w:p>
    <w:p w14:paraId="4D38C770" w14:textId="0789D308" w:rsidR="008A5CF4" w:rsidRPr="001C4B19" w:rsidRDefault="008A5CF4" w:rsidP="008A5CF4">
      <w:pPr>
        <w:rPr>
          <w:rFonts w:ascii="Arial" w:hAnsi="Arial" w:cs="Arial"/>
          <w:b/>
          <w:szCs w:val="24"/>
        </w:rPr>
      </w:pPr>
    </w:p>
    <w:tbl>
      <w:tblPr>
        <w:tblStyle w:val="TableGrid"/>
        <w:tblW w:w="9480" w:type="dxa"/>
        <w:jc w:val="center"/>
        <w:tblCellMar>
          <w:left w:w="72" w:type="dxa"/>
          <w:right w:w="72" w:type="dxa"/>
        </w:tblCellMar>
        <w:tblLook w:val="04A0" w:firstRow="1" w:lastRow="0" w:firstColumn="1" w:lastColumn="0" w:noHBand="0" w:noVBand="1"/>
      </w:tblPr>
      <w:tblGrid>
        <w:gridCol w:w="3613"/>
        <w:gridCol w:w="177"/>
        <w:gridCol w:w="1674"/>
        <w:gridCol w:w="164"/>
        <w:gridCol w:w="1674"/>
        <w:gridCol w:w="160"/>
        <w:gridCol w:w="894"/>
        <w:gridCol w:w="192"/>
        <w:gridCol w:w="926"/>
        <w:gridCol w:w="6"/>
      </w:tblGrid>
      <w:tr w:rsidR="000917BB" w:rsidRPr="008D0300" w14:paraId="596C73F0" w14:textId="77777777" w:rsidTr="00F51092">
        <w:trPr>
          <w:cantSplit/>
          <w:trHeight w:val="411"/>
          <w:tblHeader/>
          <w:jc w:val="center"/>
        </w:trPr>
        <w:tc>
          <w:tcPr>
            <w:tcW w:w="3840" w:type="dxa"/>
            <w:tcBorders>
              <w:top w:val="single" w:sz="12" w:space="0" w:color="auto"/>
              <w:left w:val="nil"/>
              <w:bottom w:val="single" w:sz="4" w:space="0" w:color="auto"/>
              <w:right w:val="nil"/>
            </w:tcBorders>
            <w:shd w:val="clear" w:color="auto" w:fill="auto"/>
            <w:vAlign w:val="center"/>
          </w:tcPr>
          <w:p w14:paraId="1647FA31" w14:textId="321FD8D4" w:rsidR="00D566D0" w:rsidRPr="008D0300" w:rsidRDefault="00D566D0" w:rsidP="0063060C">
            <w:pPr>
              <w:rPr>
                <w:rFonts w:ascii="Arial" w:hAnsi="Arial" w:cs="Arial"/>
                <w:b/>
                <w:sz w:val="22"/>
                <w:szCs w:val="22"/>
              </w:rPr>
            </w:pPr>
          </w:p>
        </w:tc>
        <w:tc>
          <w:tcPr>
            <w:tcW w:w="180" w:type="dxa"/>
            <w:tcBorders>
              <w:top w:val="single" w:sz="12" w:space="0" w:color="auto"/>
              <w:left w:val="nil"/>
              <w:bottom w:val="nil"/>
              <w:right w:val="nil"/>
            </w:tcBorders>
          </w:tcPr>
          <w:p w14:paraId="508119E7" w14:textId="77777777" w:rsidR="00D566D0" w:rsidRPr="008D0300" w:rsidRDefault="00D566D0" w:rsidP="008A5CF4">
            <w:pPr>
              <w:rPr>
                <w:rFonts w:ascii="Arial" w:hAnsi="Arial" w:cs="Arial"/>
                <w:b/>
                <w:sz w:val="22"/>
                <w:szCs w:val="22"/>
              </w:rPr>
            </w:pPr>
          </w:p>
        </w:tc>
        <w:tc>
          <w:tcPr>
            <w:tcW w:w="1596" w:type="dxa"/>
            <w:tcBorders>
              <w:top w:val="single" w:sz="12" w:space="0" w:color="auto"/>
              <w:left w:val="nil"/>
              <w:bottom w:val="nil"/>
              <w:right w:val="nil"/>
            </w:tcBorders>
            <w:vAlign w:val="center"/>
          </w:tcPr>
          <w:p w14:paraId="03CB8E56" w14:textId="7520B120" w:rsidR="00D566D0" w:rsidRPr="008D0300" w:rsidRDefault="009A5126" w:rsidP="009A5126">
            <w:pPr>
              <w:jc w:val="center"/>
              <w:rPr>
                <w:rFonts w:ascii="Arial" w:hAnsi="Arial" w:cs="Arial"/>
                <w:b/>
                <w:sz w:val="22"/>
                <w:szCs w:val="22"/>
              </w:rPr>
            </w:pPr>
            <w:r>
              <w:rPr>
                <w:rFonts w:ascii="Arial" w:hAnsi="Arial" w:cs="Arial"/>
                <w:b/>
                <w:sz w:val="22"/>
                <w:szCs w:val="22"/>
              </w:rPr>
              <w:t>Expenditures</w:t>
            </w:r>
          </w:p>
        </w:tc>
        <w:tc>
          <w:tcPr>
            <w:tcW w:w="165" w:type="dxa"/>
            <w:tcBorders>
              <w:top w:val="single" w:sz="12" w:space="0" w:color="auto"/>
              <w:left w:val="nil"/>
              <w:bottom w:val="nil"/>
              <w:right w:val="nil"/>
            </w:tcBorders>
          </w:tcPr>
          <w:p w14:paraId="6255EFDB" w14:textId="5CEB78AB" w:rsidR="00D566D0" w:rsidRPr="008D0300" w:rsidRDefault="00D566D0" w:rsidP="008A5CF4">
            <w:pPr>
              <w:rPr>
                <w:rFonts w:ascii="Arial" w:hAnsi="Arial" w:cs="Arial"/>
                <w:b/>
                <w:sz w:val="22"/>
                <w:szCs w:val="22"/>
              </w:rPr>
            </w:pPr>
          </w:p>
        </w:tc>
        <w:tc>
          <w:tcPr>
            <w:tcW w:w="1514" w:type="dxa"/>
            <w:tcBorders>
              <w:top w:val="single" w:sz="12" w:space="0" w:color="auto"/>
              <w:left w:val="nil"/>
              <w:bottom w:val="single" w:sz="2" w:space="0" w:color="auto"/>
              <w:right w:val="nil"/>
            </w:tcBorders>
            <w:shd w:val="clear" w:color="auto" w:fill="auto"/>
            <w:vAlign w:val="center"/>
          </w:tcPr>
          <w:p w14:paraId="3E2CB846" w14:textId="6246048C" w:rsidR="00D566D0" w:rsidRPr="008D0300" w:rsidRDefault="009A5126" w:rsidP="0063060C">
            <w:pPr>
              <w:jc w:val="center"/>
              <w:rPr>
                <w:rFonts w:ascii="Arial" w:hAnsi="Arial" w:cs="Arial"/>
                <w:b/>
                <w:sz w:val="22"/>
                <w:szCs w:val="22"/>
              </w:rPr>
            </w:pPr>
            <w:r>
              <w:rPr>
                <w:rFonts w:ascii="Arial" w:hAnsi="Arial" w:cs="Arial"/>
                <w:b/>
                <w:sz w:val="22"/>
                <w:szCs w:val="22"/>
              </w:rPr>
              <w:t>Revenues</w:t>
            </w:r>
          </w:p>
        </w:tc>
        <w:tc>
          <w:tcPr>
            <w:tcW w:w="161" w:type="dxa"/>
            <w:tcBorders>
              <w:top w:val="single" w:sz="12" w:space="0" w:color="auto"/>
              <w:left w:val="nil"/>
              <w:bottom w:val="nil"/>
              <w:right w:val="nil"/>
            </w:tcBorders>
          </w:tcPr>
          <w:p w14:paraId="54A62A2C" w14:textId="6FBC42CB" w:rsidR="00D566D0" w:rsidRPr="008D0300" w:rsidRDefault="00D566D0" w:rsidP="008A5CF4">
            <w:pPr>
              <w:rPr>
                <w:rFonts w:ascii="Arial" w:hAnsi="Arial" w:cs="Arial"/>
                <w:b/>
                <w:sz w:val="22"/>
                <w:szCs w:val="22"/>
              </w:rPr>
            </w:pPr>
          </w:p>
        </w:tc>
        <w:tc>
          <w:tcPr>
            <w:tcW w:w="896" w:type="dxa"/>
            <w:tcBorders>
              <w:top w:val="single" w:sz="12" w:space="0" w:color="auto"/>
              <w:left w:val="nil"/>
              <w:bottom w:val="single" w:sz="2" w:space="0" w:color="auto"/>
              <w:right w:val="nil"/>
            </w:tcBorders>
            <w:vAlign w:val="center"/>
          </w:tcPr>
          <w:p w14:paraId="05ACC489" w14:textId="31773FEB" w:rsidR="00D566D0" w:rsidRPr="008D0300" w:rsidRDefault="00D566D0" w:rsidP="0063060C">
            <w:pPr>
              <w:jc w:val="center"/>
              <w:rPr>
                <w:rFonts w:ascii="Arial" w:hAnsi="Arial" w:cs="Arial"/>
                <w:b/>
                <w:sz w:val="22"/>
                <w:szCs w:val="22"/>
              </w:rPr>
            </w:pPr>
            <w:r>
              <w:rPr>
                <w:rFonts w:ascii="Arial" w:hAnsi="Arial" w:cs="Arial"/>
                <w:b/>
                <w:sz w:val="22"/>
                <w:szCs w:val="22"/>
              </w:rPr>
              <w:t>FTEs</w:t>
            </w:r>
          </w:p>
        </w:tc>
        <w:tc>
          <w:tcPr>
            <w:tcW w:w="196" w:type="dxa"/>
            <w:tcBorders>
              <w:top w:val="single" w:sz="12" w:space="0" w:color="auto"/>
              <w:left w:val="nil"/>
              <w:bottom w:val="nil"/>
              <w:right w:val="nil"/>
            </w:tcBorders>
          </w:tcPr>
          <w:p w14:paraId="4FFC7A7C" w14:textId="77777777" w:rsidR="00D566D0" w:rsidRDefault="00D566D0" w:rsidP="008A5CF4">
            <w:pPr>
              <w:jc w:val="center"/>
              <w:rPr>
                <w:rFonts w:ascii="Arial" w:hAnsi="Arial" w:cs="Arial"/>
                <w:b/>
                <w:sz w:val="22"/>
                <w:szCs w:val="22"/>
              </w:rPr>
            </w:pPr>
          </w:p>
        </w:tc>
        <w:tc>
          <w:tcPr>
            <w:tcW w:w="932" w:type="dxa"/>
            <w:gridSpan w:val="2"/>
            <w:tcBorders>
              <w:top w:val="single" w:sz="12" w:space="0" w:color="auto"/>
              <w:left w:val="nil"/>
              <w:bottom w:val="single" w:sz="2" w:space="0" w:color="auto"/>
              <w:right w:val="single" w:sz="2" w:space="0" w:color="FFFFFF" w:themeColor="background1"/>
            </w:tcBorders>
            <w:vAlign w:val="center"/>
          </w:tcPr>
          <w:p w14:paraId="23F3C229" w14:textId="5E2587EA" w:rsidR="00D566D0" w:rsidRPr="008D0300" w:rsidRDefault="00D566D0" w:rsidP="008A5CF4">
            <w:pPr>
              <w:jc w:val="center"/>
              <w:rPr>
                <w:rFonts w:ascii="Arial" w:hAnsi="Arial" w:cs="Arial"/>
                <w:b/>
                <w:sz w:val="22"/>
                <w:szCs w:val="22"/>
              </w:rPr>
            </w:pPr>
            <w:r>
              <w:rPr>
                <w:rFonts w:ascii="Arial" w:hAnsi="Arial" w:cs="Arial"/>
                <w:b/>
                <w:sz w:val="22"/>
                <w:szCs w:val="22"/>
              </w:rPr>
              <w:t>TLTs</w:t>
            </w:r>
          </w:p>
        </w:tc>
      </w:tr>
      <w:tr w:rsidR="000917BB" w:rsidRPr="008D0300" w14:paraId="2F9A4CD3" w14:textId="77777777" w:rsidTr="00F51092">
        <w:trPr>
          <w:cantSplit/>
          <w:jc w:val="center"/>
        </w:trPr>
        <w:tc>
          <w:tcPr>
            <w:tcW w:w="3840" w:type="dxa"/>
            <w:tcBorders>
              <w:left w:val="nil"/>
              <w:bottom w:val="nil"/>
              <w:right w:val="nil"/>
            </w:tcBorders>
            <w:tcMar>
              <w:top w:w="72" w:type="dxa"/>
              <w:left w:w="115" w:type="dxa"/>
              <w:bottom w:w="72" w:type="dxa"/>
              <w:right w:w="115" w:type="dxa"/>
            </w:tcMar>
          </w:tcPr>
          <w:p w14:paraId="30A89E3F" w14:textId="2C04A51E" w:rsidR="009A5126" w:rsidRPr="00D566D0" w:rsidRDefault="009A5126" w:rsidP="009A5126">
            <w:pPr>
              <w:rPr>
                <w:rFonts w:ascii="Arial" w:hAnsi="Arial" w:cs="Arial"/>
                <w:sz w:val="22"/>
                <w:szCs w:val="22"/>
              </w:rPr>
            </w:pPr>
            <w:r w:rsidRPr="00D566D0">
              <w:rPr>
                <w:rFonts w:ascii="Arial" w:hAnsi="Arial" w:cs="Arial"/>
                <w:sz w:val="22"/>
                <w:szCs w:val="22"/>
              </w:rPr>
              <w:t>20</w:t>
            </w:r>
            <w:r w:rsidR="001F39C9">
              <w:rPr>
                <w:rFonts w:ascii="Arial" w:hAnsi="Arial" w:cs="Arial"/>
                <w:sz w:val="22"/>
                <w:szCs w:val="22"/>
              </w:rPr>
              <w:t>21</w:t>
            </w:r>
            <w:r w:rsidRPr="00D566D0">
              <w:rPr>
                <w:rFonts w:ascii="Arial" w:hAnsi="Arial" w:cs="Arial"/>
                <w:sz w:val="22"/>
                <w:szCs w:val="22"/>
              </w:rPr>
              <w:t>-202</w:t>
            </w:r>
            <w:r w:rsidR="001F39C9">
              <w:rPr>
                <w:rFonts w:ascii="Arial" w:hAnsi="Arial" w:cs="Arial"/>
                <w:sz w:val="22"/>
                <w:szCs w:val="22"/>
              </w:rPr>
              <w:t>2</w:t>
            </w:r>
            <w:r w:rsidRPr="00D566D0">
              <w:rPr>
                <w:rFonts w:ascii="Arial" w:hAnsi="Arial" w:cs="Arial"/>
                <w:sz w:val="22"/>
                <w:szCs w:val="22"/>
              </w:rPr>
              <w:t xml:space="preserve"> Revised Budget</w:t>
            </w:r>
          </w:p>
        </w:tc>
        <w:tc>
          <w:tcPr>
            <w:tcW w:w="180" w:type="dxa"/>
            <w:tcBorders>
              <w:top w:val="nil"/>
              <w:left w:val="nil"/>
              <w:bottom w:val="nil"/>
              <w:right w:val="nil"/>
            </w:tcBorders>
          </w:tcPr>
          <w:p w14:paraId="5395F1E7" w14:textId="77777777" w:rsidR="009A5126" w:rsidRPr="008D0300" w:rsidRDefault="009A5126" w:rsidP="009A5126">
            <w:pPr>
              <w:jc w:val="right"/>
              <w:rPr>
                <w:rFonts w:ascii="Arial" w:hAnsi="Arial" w:cs="Arial"/>
                <w:sz w:val="22"/>
                <w:szCs w:val="22"/>
              </w:rPr>
            </w:pPr>
          </w:p>
        </w:tc>
        <w:tc>
          <w:tcPr>
            <w:tcW w:w="1596" w:type="dxa"/>
            <w:tcBorders>
              <w:left w:val="nil"/>
              <w:bottom w:val="nil"/>
              <w:right w:val="nil"/>
            </w:tcBorders>
          </w:tcPr>
          <w:p w14:paraId="3A6E1983" w14:textId="76E31857" w:rsidR="009A5126" w:rsidRPr="00855CC3" w:rsidRDefault="00256DD7" w:rsidP="009A5126">
            <w:pPr>
              <w:jc w:val="right"/>
              <w:rPr>
                <w:rFonts w:ascii="Arial" w:hAnsi="Arial" w:cs="Arial"/>
                <w:sz w:val="22"/>
                <w:szCs w:val="22"/>
                <w:highlight w:val="yellow"/>
              </w:rPr>
            </w:pPr>
            <w:r w:rsidRPr="00256DD7">
              <w:rPr>
                <w:rFonts w:ascii="Arial" w:hAnsi="Arial" w:cs="Arial"/>
                <w:sz w:val="22"/>
                <w:szCs w:val="22"/>
              </w:rPr>
              <w:t>$2,078,836,083</w:t>
            </w:r>
          </w:p>
        </w:tc>
        <w:tc>
          <w:tcPr>
            <w:tcW w:w="165" w:type="dxa"/>
            <w:tcBorders>
              <w:top w:val="nil"/>
              <w:left w:val="nil"/>
              <w:bottom w:val="nil"/>
              <w:right w:val="nil"/>
            </w:tcBorders>
          </w:tcPr>
          <w:p w14:paraId="4FCBAB7B" w14:textId="50471FA6" w:rsidR="009A5126" w:rsidRPr="00855CC3" w:rsidRDefault="009A5126" w:rsidP="009A5126">
            <w:pPr>
              <w:jc w:val="right"/>
              <w:rPr>
                <w:rFonts w:ascii="Arial" w:hAnsi="Arial" w:cs="Arial"/>
                <w:sz w:val="22"/>
                <w:szCs w:val="22"/>
                <w:highlight w:val="yellow"/>
              </w:rPr>
            </w:pPr>
          </w:p>
        </w:tc>
        <w:tc>
          <w:tcPr>
            <w:tcW w:w="1514" w:type="dxa"/>
            <w:tcBorders>
              <w:top w:val="single" w:sz="2" w:space="0" w:color="auto"/>
              <w:left w:val="nil"/>
              <w:bottom w:val="nil"/>
              <w:right w:val="nil"/>
            </w:tcBorders>
            <w:tcMar>
              <w:top w:w="72" w:type="dxa"/>
              <w:bottom w:w="72" w:type="dxa"/>
            </w:tcMar>
          </w:tcPr>
          <w:p w14:paraId="01A9110B" w14:textId="7063EBAB" w:rsidR="009A5126" w:rsidRPr="004A60BC" w:rsidRDefault="009A5126" w:rsidP="009A5126">
            <w:pPr>
              <w:jc w:val="right"/>
              <w:rPr>
                <w:rFonts w:ascii="Arial" w:hAnsi="Arial" w:cs="Arial"/>
                <w:sz w:val="22"/>
                <w:szCs w:val="22"/>
              </w:rPr>
            </w:pPr>
            <w:r w:rsidRPr="004A60BC">
              <w:rPr>
                <w:rFonts w:ascii="Arial" w:hAnsi="Arial" w:cs="Arial"/>
                <w:sz w:val="22"/>
                <w:szCs w:val="22"/>
              </w:rPr>
              <w:t>$</w:t>
            </w:r>
            <w:r w:rsidR="004A60BC" w:rsidRPr="004A60BC">
              <w:rPr>
                <w:rFonts w:ascii="Arial" w:hAnsi="Arial" w:cs="Arial"/>
                <w:sz w:val="22"/>
                <w:szCs w:val="22"/>
              </w:rPr>
              <w:t>2,513,957,869</w:t>
            </w:r>
          </w:p>
        </w:tc>
        <w:tc>
          <w:tcPr>
            <w:tcW w:w="161" w:type="dxa"/>
            <w:tcBorders>
              <w:top w:val="nil"/>
              <w:left w:val="nil"/>
              <w:bottom w:val="nil"/>
              <w:right w:val="nil"/>
            </w:tcBorders>
          </w:tcPr>
          <w:p w14:paraId="4DFF88B8" w14:textId="225208E8" w:rsidR="009A5126" w:rsidRPr="00855CC3" w:rsidRDefault="009A5126" w:rsidP="009A5126">
            <w:pPr>
              <w:jc w:val="right"/>
              <w:rPr>
                <w:rFonts w:ascii="Arial" w:hAnsi="Arial" w:cs="Arial"/>
                <w:sz w:val="22"/>
                <w:szCs w:val="22"/>
                <w:highlight w:val="yellow"/>
              </w:rPr>
            </w:pPr>
          </w:p>
        </w:tc>
        <w:tc>
          <w:tcPr>
            <w:tcW w:w="896" w:type="dxa"/>
            <w:tcBorders>
              <w:top w:val="single" w:sz="2" w:space="0" w:color="auto"/>
              <w:left w:val="nil"/>
              <w:bottom w:val="nil"/>
              <w:right w:val="nil"/>
            </w:tcBorders>
            <w:tcMar>
              <w:top w:w="72" w:type="dxa"/>
              <w:bottom w:w="72" w:type="dxa"/>
            </w:tcMar>
          </w:tcPr>
          <w:p w14:paraId="5F2CDDC0" w14:textId="565F238D" w:rsidR="009A5126" w:rsidRPr="00855CC3" w:rsidRDefault="00C30FCD" w:rsidP="009A5126">
            <w:pPr>
              <w:jc w:val="right"/>
              <w:rPr>
                <w:rFonts w:ascii="Arial" w:hAnsi="Arial" w:cs="Arial"/>
                <w:sz w:val="22"/>
                <w:szCs w:val="22"/>
                <w:highlight w:val="yellow"/>
              </w:rPr>
            </w:pPr>
            <w:r w:rsidRPr="00C30FCD">
              <w:rPr>
                <w:rFonts w:ascii="Arial" w:hAnsi="Arial" w:cs="Arial"/>
                <w:sz w:val="22"/>
                <w:szCs w:val="22"/>
              </w:rPr>
              <w:t>5,367.4</w:t>
            </w:r>
          </w:p>
        </w:tc>
        <w:tc>
          <w:tcPr>
            <w:tcW w:w="196" w:type="dxa"/>
            <w:tcBorders>
              <w:top w:val="nil"/>
              <w:left w:val="nil"/>
              <w:bottom w:val="nil"/>
              <w:right w:val="nil"/>
            </w:tcBorders>
          </w:tcPr>
          <w:p w14:paraId="5743EB10" w14:textId="77777777" w:rsidR="009A5126" w:rsidRPr="00855CC3" w:rsidRDefault="009A5126" w:rsidP="009A5126">
            <w:pPr>
              <w:jc w:val="right"/>
              <w:rPr>
                <w:rFonts w:ascii="Arial" w:hAnsi="Arial" w:cs="Arial"/>
                <w:sz w:val="22"/>
                <w:szCs w:val="22"/>
                <w:highlight w:val="yellow"/>
              </w:rPr>
            </w:pPr>
          </w:p>
        </w:tc>
        <w:tc>
          <w:tcPr>
            <w:tcW w:w="932" w:type="dxa"/>
            <w:gridSpan w:val="2"/>
            <w:tcBorders>
              <w:top w:val="single" w:sz="2" w:space="0" w:color="auto"/>
              <w:left w:val="nil"/>
              <w:bottom w:val="nil"/>
              <w:right w:val="single" w:sz="2" w:space="0" w:color="FFFFFF" w:themeColor="background1"/>
            </w:tcBorders>
            <w:tcMar>
              <w:top w:w="72" w:type="dxa"/>
              <w:left w:w="115" w:type="dxa"/>
              <w:bottom w:w="72" w:type="dxa"/>
              <w:right w:w="115" w:type="dxa"/>
            </w:tcMar>
          </w:tcPr>
          <w:p w14:paraId="639D9642" w14:textId="47454628" w:rsidR="009A5126" w:rsidRPr="00855CC3" w:rsidRDefault="00443027" w:rsidP="009A5126">
            <w:pPr>
              <w:jc w:val="right"/>
              <w:rPr>
                <w:rFonts w:ascii="Arial" w:hAnsi="Arial" w:cs="Arial"/>
                <w:sz w:val="22"/>
                <w:szCs w:val="22"/>
                <w:highlight w:val="yellow"/>
              </w:rPr>
            </w:pPr>
            <w:r w:rsidRPr="00443027">
              <w:rPr>
                <w:rFonts w:ascii="Arial" w:hAnsi="Arial" w:cs="Arial"/>
                <w:sz w:val="22"/>
                <w:szCs w:val="22"/>
              </w:rPr>
              <w:t>172.5</w:t>
            </w:r>
          </w:p>
        </w:tc>
      </w:tr>
      <w:tr w:rsidR="000917BB" w:rsidRPr="008D0300" w14:paraId="774D22F3" w14:textId="77777777" w:rsidTr="00F51092">
        <w:trPr>
          <w:cantSplit/>
          <w:trHeight w:val="216"/>
          <w:jc w:val="center"/>
        </w:trPr>
        <w:tc>
          <w:tcPr>
            <w:tcW w:w="3840" w:type="dxa"/>
            <w:tcBorders>
              <w:top w:val="nil"/>
              <w:left w:val="nil"/>
              <w:bottom w:val="nil"/>
              <w:right w:val="nil"/>
            </w:tcBorders>
            <w:tcMar>
              <w:top w:w="72" w:type="dxa"/>
              <w:left w:w="115" w:type="dxa"/>
              <w:bottom w:w="72" w:type="dxa"/>
              <w:right w:w="115" w:type="dxa"/>
            </w:tcMar>
          </w:tcPr>
          <w:p w14:paraId="4D82153D" w14:textId="7710B9A8" w:rsidR="009A5126" w:rsidRDefault="009A5126" w:rsidP="009A5126">
            <w:pPr>
              <w:ind w:left="240"/>
              <w:rPr>
                <w:rFonts w:ascii="Arial" w:hAnsi="Arial" w:cs="Arial"/>
                <w:sz w:val="22"/>
                <w:szCs w:val="22"/>
              </w:rPr>
            </w:pPr>
            <w:r>
              <w:rPr>
                <w:rFonts w:ascii="Arial" w:hAnsi="Arial" w:cs="Arial"/>
                <w:sz w:val="22"/>
                <w:szCs w:val="22"/>
              </w:rPr>
              <w:t>20</w:t>
            </w:r>
            <w:r w:rsidR="001F39C9">
              <w:rPr>
                <w:rFonts w:ascii="Arial" w:hAnsi="Arial" w:cs="Arial"/>
                <w:sz w:val="22"/>
                <w:szCs w:val="22"/>
              </w:rPr>
              <w:t>23</w:t>
            </w:r>
            <w:r>
              <w:rPr>
                <w:rFonts w:ascii="Arial" w:hAnsi="Arial" w:cs="Arial"/>
                <w:sz w:val="22"/>
                <w:szCs w:val="22"/>
              </w:rPr>
              <w:t>-202</w:t>
            </w:r>
            <w:r w:rsidR="001F39C9">
              <w:rPr>
                <w:rFonts w:ascii="Arial" w:hAnsi="Arial" w:cs="Arial"/>
                <w:sz w:val="22"/>
                <w:szCs w:val="22"/>
              </w:rPr>
              <w:t>4</w:t>
            </w:r>
            <w:r>
              <w:rPr>
                <w:rFonts w:ascii="Arial" w:hAnsi="Arial" w:cs="Arial"/>
                <w:sz w:val="22"/>
                <w:szCs w:val="22"/>
              </w:rPr>
              <w:t xml:space="preserve"> Base Budget</w:t>
            </w:r>
            <w:r w:rsidR="00F51092">
              <w:rPr>
                <w:rFonts w:ascii="Arial" w:hAnsi="Arial" w:cs="Arial"/>
                <w:sz w:val="22"/>
                <w:szCs w:val="22"/>
              </w:rPr>
              <w:t xml:space="preserve"> Adjust.</w:t>
            </w:r>
          </w:p>
        </w:tc>
        <w:tc>
          <w:tcPr>
            <w:tcW w:w="180" w:type="dxa"/>
            <w:tcBorders>
              <w:top w:val="nil"/>
              <w:left w:val="nil"/>
              <w:bottom w:val="nil"/>
              <w:right w:val="nil"/>
            </w:tcBorders>
          </w:tcPr>
          <w:p w14:paraId="6D59484A" w14:textId="122F491C" w:rsidR="009A5126" w:rsidRPr="008D0300" w:rsidRDefault="009A5126" w:rsidP="009A5126">
            <w:pPr>
              <w:jc w:val="right"/>
              <w:rPr>
                <w:rFonts w:ascii="Arial" w:hAnsi="Arial" w:cs="Arial"/>
                <w:sz w:val="22"/>
                <w:szCs w:val="22"/>
              </w:rPr>
            </w:pPr>
          </w:p>
        </w:tc>
        <w:tc>
          <w:tcPr>
            <w:tcW w:w="1596" w:type="dxa"/>
            <w:tcBorders>
              <w:top w:val="nil"/>
              <w:left w:val="nil"/>
              <w:bottom w:val="nil"/>
              <w:right w:val="nil"/>
            </w:tcBorders>
          </w:tcPr>
          <w:p w14:paraId="153739B1" w14:textId="2262271D" w:rsidR="009A5126" w:rsidRPr="00855CC3" w:rsidRDefault="009A5126" w:rsidP="009A5126">
            <w:pPr>
              <w:jc w:val="right"/>
              <w:rPr>
                <w:rFonts w:ascii="Arial" w:hAnsi="Arial" w:cs="Arial"/>
                <w:sz w:val="22"/>
                <w:szCs w:val="22"/>
                <w:highlight w:val="yellow"/>
              </w:rPr>
            </w:pPr>
            <w:r w:rsidRPr="00443027">
              <w:rPr>
                <w:rFonts w:ascii="Arial" w:hAnsi="Arial" w:cs="Arial"/>
                <w:sz w:val="22"/>
                <w:szCs w:val="22"/>
              </w:rPr>
              <w:t>$</w:t>
            </w:r>
            <w:r w:rsidR="00443027" w:rsidRPr="00443027">
              <w:rPr>
                <w:rFonts w:ascii="Arial" w:hAnsi="Arial" w:cs="Arial"/>
                <w:sz w:val="22"/>
                <w:szCs w:val="22"/>
              </w:rPr>
              <w:t>56,540,733</w:t>
            </w:r>
          </w:p>
        </w:tc>
        <w:tc>
          <w:tcPr>
            <w:tcW w:w="165" w:type="dxa"/>
            <w:tcBorders>
              <w:top w:val="nil"/>
              <w:left w:val="nil"/>
              <w:bottom w:val="nil"/>
              <w:right w:val="nil"/>
            </w:tcBorders>
          </w:tcPr>
          <w:p w14:paraId="1275B628" w14:textId="7406A1B1" w:rsidR="009A5126" w:rsidRPr="00855CC3" w:rsidRDefault="009A5126" w:rsidP="009A5126">
            <w:pPr>
              <w:jc w:val="right"/>
              <w:rPr>
                <w:rFonts w:ascii="Arial" w:hAnsi="Arial" w:cs="Arial"/>
                <w:sz w:val="22"/>
                <w:szCs w:val="22"/>
                <w:highlight w:val="yellow"/>
              </w:rPr>
            </w:pPr>
          </w:p>
        </w:tc>
        <w:tc>
          <w:tcPr>
            <w:tcW w:w="1514" w:type="dxa"/>
            <w:tcBorders>
              <w:top w:val="nil"/>
              <w:left w:val="nil"/>
              <w:bottom w:val="nil"/>
              <w:right w:val="nil"/>
            </w:tcBorders>
            <w:tcMar>
              <w:top w:w="72" w:type="dxa"/>
              <w:bottom w:w="72" w:type="dxa"/>
            </w:tcMar>
          </w:tcPr>
          <w:p w14:paraId="1ECE2542" w14:textId="0C7FCA2D" w:rsidR="009A5126" w:rsidRPr="00855CC3" w:rsidRDefault="008E7755" w:rsidP="009A5126">
            <w:pPr>
              <w:jc w:val="right"/>
              <w:rPr>
                <w:rFonts w:ascii="Arial" w:hAnsi="Arial" w:cs="Arial"/>
                <w:sz w:val="22"/>
                <w:szCs w:val="22"/>
                <w:highlight w:val="yellow"/>
              </w:rPr>
            </w:pPr>
            <w:r w:rsidRPr="00443027">
              <w:rPr>
                <w:rFonts w:ascii="Arial" w:hAnsi="Arial" w:cs="Arial"/>
                <w:sz w:val="22"/>
                <w:szCs w:val="22"/>
              </w:rPr>
              <w:t>(</w:t>
            </w:r>
            <w:r w:rsidR="009A5126" w:rsidRPr="00443027">
              <w:rPr>
                <w:rFonts w:ascii="Arial" w:hAnsi="Arial" w:cs="Arial"/>
                <w:sz w:val="22"/>
                <w:szCs w:val="22"/>
              </w:rPr>
              <w:t>$</w:t>
            </w:r>
            <w:r w:rsidR="00443027" w:rsidRPr="00443027">
              <w:rPr>
                <w:rFonts w:ascii="Arial" w:hAnsi="Arial" w:cs="Arial"/>
                <w:sz w:val="22"/>
                <w:szCs w:val="22"/>
              </w:rPr>
              <w:t>321,160,407</w:t>
            </w:r>
            <w:r w:rsidRPr="00443027">
              <w:rPr>
                <w:rFonts w:ascii="Arial" w:hAnsi="Arial" w:cs="Arial"/>
                <w:sz w:val="22"/>
                <w:szCs w:val="22"/>
              </w:rPr>
              <w:t>)</w:t>
            </w:r>
          </w:p>
        </w:tc>
        <w:tc>
          <w:tcPr>
            <w:tcW w:w="161" w:type="dxa"/>
            <w:tcBorders>
              <w:top w:val="nil"/>
              <w:left w:val="nil"/>
              <w:bottom w:val="nil"/>
              <w:right w:val="nil"/>
            </w:tcBorders>
          </w:tcPr>
          <w:p w14:paraId="657812B7" w14:textId="77777777" w:rsidR="009A5126" w:rsidRPr="00855CC3" w:rsidRDefault="009A5126" w:rsidP="009A5126">
            <w:pPr>
              <w:jc w:val="right"/>
              <w:rPr>
                <w:rFonts w:ascii="Arial" w:hAnsi="Arial" w:cs="Arial"/>
                <w:sz w:val="22"/>
                <w:szCs w:val="22"/>
                <w:highlight w:val="yellow"/>
              </w:rPr>
            </w:pPr>
          </w:p>
        </w:tc>
        <w:tc>
          <w:tcPr>
            <w:tcW w:w="896" w:type="dxa"/>
            <w:tcBorders>
              <w:top w:val="nil"/>
              <w:left w:val="nil"/>
              <w:bottom w:val="nil"/>
              <w:right w:val="nil"/>
            </w:tcBorders>
            <w:tcMar>
              <w:top w:w="72" w:type="dxa"/>
              <w:bottom w:w="72" w:type="dxa"/>
            </w:tcMar>
          </w:tcPr>
          <w:p w14:paraId="4A72EA18" w14:textId="234B3EA4" w:rsidR="009A5126" w:rsidRPr="00855CC3" w:rsidRDefault="00443027" w:rsidP="009A5126">
            <w:pPr>
              <w:jc w:val="right"/>
              <w:rPr>
                <w:rFonts w:ascii="Arial" w:hAnsi="Arial" w:cs="Arial"/>
                <w:sz w:val="22"/>
                <w:szCs w:val="22"/>
                <w:highlight w:val="yellow"/>
              </w:rPr>
            </w:pPr>
            <w:r w:rsidRPr="00443027">
              <w:rPr>
                <w:rFonts w:ascii="Arial" w:hAnsi="Arial" w:cs="Arial"/>
                <w:sz w:val="22"/>
                <w:szCs w:val="22"/>
              </w:rPr>
              <w:t>4.2</w:t>
            </w:r>
          </w:p>
        </w:tc>
        <w:tc>
          <w:tcPr>
            <w:tcW w:w="196" w:type="dxa"/>
            <w:tcBorders>
              <w:top w:val="nil"/>
              <w:left w:val="nil"/>
              <w:bottom w:val="nil"/>
              <w:right w:val="nil"/>
            </w:tcBorders>
          </w:tcPr>
          <w:p w14:paraId="358B7EF9" w14:textId="77777777" w:rsidR="009A5126" w:rsidRPr="00855CC3" w:rsidRDefault="009A5126" w:rsidP="009A5126">
            <w:pPr>
              <w:jc w:val="right"/>
              <w:rPr>
                <w:rFonts w:ascii="Arial" w:hAnsi="Arial" w:cs="Arial"/>
                <w:sz w:val="22"/>
                <w:szCs w:val="22"/>
                <w:highlight w:val="yellow"/>
              </w:rPr>
            </w:pPr>
          </w:p>
        </w:tc>
        <w:tc>
          <w:tcPr>
            <w:tcW w:w="932" w:type="dxa"/>
            <w:gridSpan w:val="2"/>
            <w:tcBorders>
              <w:top w:val="nil"/>
              <w:left w:val="nil"/>
              <w:bottom w:val="nil"/>
              <w:right w:val="single" w:sz="2" w:space="0" w:color="FFFFFF" w:themeColor="background1"/>
            </w:tcBorders>
            <w:tcMar>
              <w:top w:w="72" w:type="dxa"/>
              <w:left w:w="115" w:type="dxa"/>
              <w:bottom w:w="72" w:type="dxa"/>
              <w:right w:w="115" w:type="dxa"/>
            </w:tcMar>
          </w:tcPr>
          <w:p w14:paraId="4392F1A5" w14:textId="0B7423D9" w:rsidR="009A5126" w:rsidRPr="00443027" w:rsidRDefault="00443027" w:rsidP="008E7755">
            <w:pPr>
              <w:jc w:val="right"/>
              <w:rPr>
                <w:rFonts w:ascii="Arial" w:hAnsi="Arial" w:cs="Arial"/>
                <w:sz w:val="22"/>
                <w:szCs w:val="22"/>
              </w:rPr>
            </w:pPr>
            <w:r w:rsidRPr="00443027">
              <w:rPr>
                <w:rFonts w:ascii="Arial" w:hAnsi="Arial" w:cs="Arial"/>
                <w:sz w:val="22"/>
                <w:szCs w:val="22"/>
              </w:rPr>
              <w:t>(150.5)</w:t>
            </w:r>
          </w:p>
        </w:tc>
      </w:tr>
      <w:tr w:rsidR="000917BB" w:rsidRPr="00C20E6C" w14:paraId="79518FD7" w14:textId="77777777" w:rsidTr="00F51092">
        <w:trPr>
          <w:cantSplit/>
          <w:trHeight w:val="369"/>
          <w:jc w:val="center"/>
        </w:trPr>
        <w:tc>
          <w:tcPr>
            <w:tcW w:w="3840" w:type="dxa"/>
            <w:tcBorders>
              <w:top w:val="nil"/>
              <w:left w:val="nil"/>
              <w:bottom w:val="nil"/>
              <w:right w:val="nil"/>
            </w:tcBorders>
            <w:tcMar>
              <w:top w:w="72" w:type="dxa"/>
              <w:left w:w="115" w:type="dxa"/>
              <w:bottom w:w="72" w:type="dxa"/>
              <w:right w:w="115" w:type="dxa"/>
            </w:tcMar>
          </w:tcPr>
          <w:p w14:paraId="6542C693" w14:textId="6A534857" w:rsidR="009A5126" w:rsidRDefault="009A5126" w:rsidP="009A5126">
            <w:pPr>
              <w:ind w:left="240"/>
              <w:rPr>
                <w:rFonts w:ascii="Arial" w:hAnsi="Arial" w:cs="Arial"/>
                <w:sz w:val="22"/>
                <w:szCs w:val="22"/>
              </w:rPr>
            </w:pPr>
            <w:r>
              <w:rPr>
                <w:rFonts w:ascii="Arial" w:hAnsi="Arial" w:cs="Arial"/>
                <w:sz w:val="22"/>
                <w:szCs w:val="22"/>
              </w:rPr>
              <w:t>202</w:t>
            </w:r>
            <w:r w:rsidR="001F39C9">
              <w:rPr>
                <w:rFonts w:ascii="Arial" w:hAnsi="Arial" w:cs="Arial"/>
                <w:sz w:val="22"/>
                <w:szCs w:val="22"/>
              </w:rPr>
              <w:t>3</w:t>
            </w:r>
            <w:r>
              <w:rPr>
                <w:rFonts w:ascii="Arial" w:hAnsi="Arial" w:cs="Arial"/>
                <w:sz w:val="22"/>
                <w:szCs w:val="22"/>
              </w:rPr>
              <w:t>-20</w:t>
            </w:r>
            <w:r w:rsidR="001F39C9">
              <w:rPr>
                <w:rFonts w:ascii="Arial" w:hAnsi="Arial" w:cs="Arial"/>
                <w:sz w:val="22"/>
                <w:szCs w:val="22"/>
              </w:rPr>
              <w:t>24</w:t>
            </w:r>
            <w:r>
              <w:rPr>
                <w:rFonts w:ascii="Arial" w:hAnsi="Arial" w:cs="Arial"/>
                <w:sz w:val="22"/>
                <w:szCs w:val="22"/>
              </w:rPr>
              <w:t xml:space="preserve"> Decision Packages</w:t>
            </w:r>
          </w:p>
        </w:tc>
        <w:tc>
          <w:tcPr>
            <w:tcW w:w="180" w:type="dxa"/>
            <w:tcBorders>
              <w:top w:val="nil"/>
              <w:left w:val="nil"/>
              <w:bottom w:val="nil"/>
              <w:right w:val="nil"/>
            </w:tcBorders>
          </w:tcPr>
          <w:p w14:paraId="50A07E4C" w14:textId="0E83589F" w:rsidR="009A5126" w:rsidRPr="008D0300" w:rsidRDefault="009A5126" w:rsidP="009A5126">
            <w:pPr>
              <w:jc w:val="right"/>
              <w:rPr>
                <w:rFonts w:ascii="Arial" w:hAnsi="Arial" w:cs="Arial"/>
                <w:sz w:val="22"/>
                <w:szCs w:val="22"/>
              </w:rPr>
            </w:pPr>
          </w:p>
        </w:tc>
        <w:tc>
          <w:tcPr>
            <w:tcW w:w="1596" w:type="dxa"/>
            <w:tcBorders>
              <w:top w:val="nil"/>
              <w:left w:val="nil"/>
              <w:bottom w:val="nil"/>
              <w:right w:val="nil"/>
            </w:tcBorders>
          </w:tcPr>
          <w:p w14:paraId="381A02DA" w14:textId="28F51901" w:rsidR="009A5126" w:rsidRPr="00C20E6C" w:rsidRDefault="009A5126" w:rsidP="009A5126">
            <w:pPr>
              <w:jc w:val="right"/>
              <w:rPr>
                <w:rFonts w:ascii="Arial" w:hAnsi="Arial" w:cs="Arial"/>
                <w:sz w:val="22"/>
                <w:szCs w:val="22"/>
              </w:rPr>
            </w:pPr>
            <w:r w:rsidRPr="00C20E6C">
              <w:rPr>
                <w:rFonts w:ascii="Arial" w:hAnsi="Arial" w:cs="Arial"/>
                <w:sz w:val="22"/>
                <w:szCs w:val="22"/>
              </w:rPr>
              <w:t>$</w:t>
            </w:r>
            <w:r w:rsidR="00C20E6C" w:rsidRPr="00C20E6C">
              <w:rPr>
                <w:rFonts w:ascii="Arial" w:hAnsi="Arial" w:cs="Arial"/>
                <w:sz w:val="22"/>
                <w:szCs w:val="22"/>
              </w:rPr>
              <w:t>336,240,439</w:t>
            </w:r>
          </w:p>
        </w:tc>
        <w:tc>
          <w:tcPr>
            <w:tcW w:w="165" w:type="dxa"/>
            <w:tcBorders>
              <w:top w:val="nil"/>
              <w:left w:val="nil"/>
              <w:bottom w:val="nil"/>
              <w:right w:val="nil"/>
            </w:tcBorders>
          </w:tcPr>
          <w:p w14:paraId="4DC8F0CF" w14:textId="45819607" w:rsidR="009A5126" w:rsidRPr="00855CC3" w:rsidRDefault="009A5126" w:rsidP="009A5126">
            <w:pPr>
              <w:jc w:val="right"/>
              <w:rPr>
                <w:rFonts w:ascii="Arial" w:hAnsi="Arial" w:cs="Arial"/>
                <w:sz w:val="22"/>
                <w:szCs w:val="22"/>
                <w:highlight w:val="yellow"/>
              </w:rPr>
            </w:pPr>
          </w:p>
        </w:tc>
        <w:tc>
          <w:tcPr>
            <w:tcW w:w="1514" w:type="dxa"/>
            <w:tcBorders>
              <w:top w:val="nil"/>
              <w:left w:val="nil"/>
              <w:bottom w:val="nil"/>
              <w:right w:val="nil"/>
            </w:tcBorders>
            <w:tcMar>
              <w:top w:w="72" w:type="dxa"/>
              <w:bottom w:w="72" w:type="dxa"/>
            </w:tcMar>
          </w:tcPr>
          <w:p w14:paraId="3AA812A7" w14:textId="471E453F" w:rsidR="009A5126" w:rsidRPr="00855CC3" w:rsidRDefault="009A5126" w:rsidP="009A5126">
            <w:pPr>
              <w:jc w:val="right"/>
              <w:rPr>
                <w:rFonts w:ascii="Arial" w:hAnsi="Arial" w:cs="Arial"/>
                <w:sz w:val="22"/>
                <w:szCs w:val="22"/>
                <w:highlight w:val="yellow"/>
              </w:rPr>
            </w:pPr>
            <w:r w:rsidRPr="00C20E6C">
              <w:rPr>
                <w:rFonts w:ascii="Arial" w:hAnsi="Arial" w:cs="Arial"/>
                <w:sz w:val="22"/>
                <w:szCs w:val="22"/>
              </w:rPr>
              <w:t>$</w:t>
            </w:r>
            <w:r w:rsidR="00C20E6C" w:rsidRPr="00C20E6C">
              <w:rPr>
                <w:rFonts w:ascii="Arial" w:hAnsi="Arial" w:cs="Arial"/>
                <w:sz w:val="22"/>
                <w:szCs w:val="22"/>
              </w:rPr>
              <w:t>145,794,019</w:t>
            </w:r>
          </w:p>
        </w:tc>
        <w:tc>
          <w:tcPr>
            <w:tcW w:w="161" w:type="dxa"/>
            <w:tcBorders>
              <w:top w:val="nil"/>
              <w:left w:val="nil"/>
              <w:bottom w:val="nil"/>
              <w:right w:val="nil"/>
            </w:tcBorders>
          </w:tcPr>
          <w:p w14:paraId="5CE057A0" w14:textId="77777777" w:rsidR="009A5126" w:rsidRPr="00855CC3" w:rsidRDefault="009A5126" w:rsidP="009A5126">
            <w:pPr>
              <w:jc w:val="right"/>
              <w:rPr>
                <w:rFonts w:ascii="Arial" w:hAnsi="Arial" w:cs="Arial"/>
                <w:sz w:val="22"/>
                <w:szCs w:val="22"/>
                <w:highlight w:val="yellow"/>
              </w:rPr>
            </w:pPr>
          </w:p>
        </w:tc>
        <w:tc>
          <w:tcPr>
            <w:tcW w:w="896" w:type="dxa"/>
            <w:tcBorders>
              <w:top w:val="nil"/>
              <w:left w:val="nil"/>
              <w:bottom w:val="nil"/>
              <w:right w:val="nil"/>
            </w:tcBorders>
            <w:tcMar>
              <w:top w:w="72" w:type="dxa"/>
              <w:bottom w:w="72" w:type="dxa"/>
            </w:tcMar>
          </w:tcPr>
          <w:p w14:paraId="258E6F7E" w14:textId="2F6B91AF" w:rsidR="009A5126" w:rsidRPr="00C20E6C" w:rsidRDefault="00C20E6C" w:rsidP="009A5126">
            <w:pPr>
              <w:jc w:val="right"/>
              <w:rPr>
                <w:rFonts w:ascii="Arial" w:hAnsi="Arial" w:cs="Arial"/>
                <w:sz w:val="22"/>
                <w:szCs w:val="22"/>
              </w:rPr>
            </w:pPr>
            <w:r w:rsidRPr="00C20E6C">
              <w:rPr>
                <w:rFonts w:ascii="Arial" w:hAnsi="Arial" w:cs="Arial"/>
                <w:sz w:val="22"/>
                <w:szCs w:val="22"/>
              </w:rPr>
              <w:t>463.1</w:t>
            </w:r>
          </w:p>
        </w:tc>
        <w:tc>
          <w:tcPr>
            <w:tcW w:w="196" w:type="dxa"/>
            <w:tcBorders>
              <w:top w:val="nil"/>
              <w:left w:val="nil"/>
              <w:bottom w:val="nil"/>
              <w:right w:val="nil"/>
            </w:tcBorders>
          </w:tcPr>
          <w:p w14:paraId="6457EA7F" w14:textId="77777777" w:rsidR="009A5126" w:rsidRPr="00C20E6C" w:rsidRDefault="009A5126" w:rsidP="009A5126">
            <w:pPr>
              <w:jc w:val="right"/>
              <w:rPr>
                <w:rFonts w:ascii="Arial" w:hAnsi="Arial" w:cs="Arial"/>
                <w:sz w:val="22"/>
                <w:szCs w:val="22"/>
              </w:rPr>
            </w:pPr>
          </w:p>
        </w:tc>
        <w:tc>
          <w:tcPr>
            <w:tcW w:w="932" w:type="dxa"/>
            <w:gridSpan w:val="2"/>
            <w:tcBorders>
              <w:top w:val="nil"/>
              <w:left w:val="nil"/>
              <w:bottom w:val="nil"/>
              <w:right w:val="single" w:sz="2" w:space="0" w:color="FFFFFF" w:themeColor="background1"/>
            </w:tcBorders>
            <w:tcMar>
              <w:top w:w="72" w:type="dxa"/>
              <w:left w:w="115" w:type="dxa"/>
              <w:bottom w:w="72" w:type="dxa"/>
              <w:right w:w="115" w:type="dxa"/>
            </w:tcMar>
          </w:tcPr>
          <w:p w14:paraId="1BCBED0B" w14:textId="1C958712" w:rsidR="009A5126" w:rsidRPr="00C20E6C" w:rsidRDefault="00C20E6C" w:rsidP="009A5126">
            <w:pPr>
              <w:jc w:val="right"/>
              <w:rPr>
                <w:rFonts w:ascii="Arial" w:hAnsi="Arial" w:cs="Arial"/>
                <w:sz w:val="22"/>
                <w:szCs w:val="22"/>
              </w:rPr>
            </w:pPr>
            <w:r w:rsidRPr="00C20E6C">
              <w:rPr>
                <w:rFonts w:ascii="Arial" w:hAnsi="Arial" w:cs="Arial"/>
                <w:sz w:val="22"/>
                <w:szCs w:val="22"/>
              </w:rPr>
              <w:t>69.5</w:t>
            </w:r>
          </w:p>
        </w:tc>
      </w:tr>
      <w:tr w:rsidR="000917BB" w:rsidRPr="008D0300" w14:paraId="25121A11" w14:textId="77777777" w:rsidTr="00F51092">
        <w:trPr>
          <w:cantSplit/>
          <w:jc w:val="center"/>
        </w:trPr>
        <w:tc>
          <w:tcPr>
            <w:tcW w:w="3840" w:type="dxa"/>
            <w:tcBorders>
              <w:top w:val="single" w:sz="4" w:space="0" w:color="auto"/>
              <w:left w:val="nil"/>
              <w:bottom w:val="nil"/>
              <w:right w:val="nil"/>
            </w:tcBorders>
            <w:tcMar>
              <w:top w:w="72" w:type="dxa"/>
              <w:left w:w="115" w:type="dxa"/>
              <w:bottom w:w="72" w:type="dxa"/>
              <w:right w:w="115" w:type="dxa"/>
            </w:tcMar>
          </w:tcPr>
          <w:p w14:paraId="3B2EBE11" w14:textId="630C3F42" w:rsidR="009A5126" w:rsidRPr="008D0300" w:rsidRDefault="009A5126" w:rsidP="009A5126">
            <w:pPr>
              <w:rPr>
                <w:rFonts w:ascii="Arial" w:hAnsi="Arial" w:cs="Arial"/>
                <w:b/>
                <w:sz w:val="22"/>
                <w:szCs w:val="22"/>
              </w:rPr>
            </w:pPr>
            <w:r>
              <w:rPr>
                <w:rFonts w:ascii="Arial" w:hAnsi="Arial" w:cs="Arial"/>
                <w:b/>
                <w:sz w:val="22"/>
                <w:szCs w:val="22"/>
              </w:rPr>
              <w:t>202</w:t>
            </w:r>
            <w:r w:rsidR="001F39C9">
              <w:rPr>
                <w:rFonts w:ascii="Arial" w:hAnsi="Arial" w:cs="Arial"/>
                <w:b/>
                <w:sz w:val="22"/>
                <w:szCs w:val="22"/>
              </w:rPr>
              <w:t>3</w:t>
            </w:r>
            <w:r>
              <w:rPr>
                <w:rFonts w:ascii="Arial" w:hAnsi="Arial" w:cs="Arial"/>
                <w:b/>
                <w:sz w:val="22"/>
                <w:szCs w:val="22"/>
              </w:rPr>
              <w:t>-202</w:t>
            </w:r>
            <w:r w:rsidR="001F39C9">
              <w:rPr>
                <w:rFonts w:ascii="Arial" w:hAnsi="Arial" w:cs="Arial"/>
                <w:b/>
                <w:sz w:val="22"/>
                <w:szCs w:val="22"/>
              </w:rPr>
              <w:t>4</w:t>
            </w:r>
            <w:r>
              <w:rPr>
                <w:rFonts w:ascii="Arial" w:hAnsi="Arial" w:cs="Arial"/>
                <w:b/>
                <w:sz w:val="22"/>
                <w:szCs w:val="22"/>
              </w:rPr>
              <w:t xml:space="preserve"> Proposed Budget</w:t>
            </w:r>
          </w:p>
        </w:tc>
        <w:tc>
          <w:tcPr>
            <w:tcW w:w="180" w:type="dxa"/>
            <w:tcBorders>
              <w:top w:val="nil"/>
              <w:left w:val="nil"/>
              <w:bottom w:val="nil"/>
              <w:right w:val="nil"/>
            </w:tcBorders>
          </w:tcPr>
          <w:p w14:paraId="3D30E806" w14:textId="77777777" w:rsidR="009A5126" w:rsidRPr="008D0300" w:rsidRDefault="009A5126" w:rsidP="009A5126">
            <w:pPr>
              <w:jc w:val="right"/>
              <w:rPr>
                <w:rFonts w:ascii="Arial" w:hAnsi="Arial" w:cs="Arial"/>
                <w:sz w:val="22"/>
                <w:szCs w:val="22"/>
              </w:rPr>
            </w:pPr>
          </w:p>
        </w:tc>
        <w:tc>
          <w:tcPr>
            <w:tcW w:w="1596" w:type="dxa"/>
            <w:tcBorders>
              <w:top w:val="single" w:sz="4" w:space="0" w:color="auto"/>
              <w:left w:val="nil"/>
              <w:bottom w:val="nil"/>
              <w:right w:val="nil"/>
            </w:tcBorders>
          </w:tcPr>
          <w:p w14:paraId="184215F5" w14:textId="5251C04D" w:rsidR="009A5126" w:rsidRPr="000917BB" w:rsidRDefault="005D49A1" w:rsidP="009A5126">
            <w:pPr>
              <w:jc w:val="right"/>
              <w:rPr>
                <w:rFonts w:ascii="Arial" w:hAnsi="Arial" w:cs="Arial"/>
                <w:sz w:val="22"/>
                <w:szCs w:val="22"/>
              </w:rPr>
            </w:pPr>
            <w:r w:rsidRPr="000917BB">
              <w:rPr>
                <w:rFonts w:ascii="Arial" w:hAnsi="Arial" w:cs="Arial"/>
                <w:b/>
                <w:sz w:val="22"/>
                <w:szCs w:val="22"/>
              </w:rPr>
              <w:t>$</w:t>
            </w:r>
            <w:r w:rsidR="00C20E6C" w:rsidRPr="000917BB">
              <w:rPr>
                <w:rFonts w:ascii="Arial" w:hAnsi="Arial" w:cs="Arial"/>
                <w:b/>
                <w:sz w:val="22"/>
                <w:szCs w:val="22"/>
              </w:rPr>
              <w:t>2,471,618,000</w:t>
            </w:r>
          </w:p>
        </w:tc>
        <w:tc>
          <w:tcPr>
            <w:tcW w:w="165" w:type="dxa"/>
            <w:tcBorders>
              <w:top w:val="nil"/>
              <w:left w:val="nil"/>
              <w:bottom w:val="nil"/>
              <w:right w:val="nil"/>
            </w:tcBorders>
          </w:tcPr>
          <w:p w14:paraId="0B3E60C7" w14:textId="0663C95F" w:rsidR="009A5126" w:rsidRPr="000917BB" w:rsidRDefault="009A5126" w:rsidP="009A5126">
            <w:pPr>
              <w:jc w:val="right"/>
              <w:rPr>
                <w:rFonts w:ascii="Arial" w:hAnsi="Arial" w:cs="Arial"/>
                <w:sz w:val="22"/>
                <w:szCs w:val="22"/>
              </w:rPr>
            </w:pPr>
          </w:p>
        </w:tc>
        <w:tc>
          <w:tcPr>
            <w:tcW w:w="1514" w:type="dxa"/>
            <w:tcBorders>
              <w:top w:val="single" w:sz="2" w:space="0" w:color="auto"/>
              <w:left w:val="nil"/>
              <w:bottom w:val="nil"/>
              <w:right w:val="nil"/>
            </w:tcBorders>
            <w:tcMar>
              <w:top w:w="72" w:type="dxa"/>
              <w:bottom w:w="72" w:type="dxa"/>
            </w:tcMar>
          </w:tcPr>
          <w:p w14:paraId="1B5D7957" w14:textId="32E2F77A" w:rsidR="009A5126" w:rsidRPr="000917BB" w:rsidRDefault="005D49A1" w:rsidP="009A5126">
            <w:pPr>
              <w:jc w:val="right"/>
              <w:rPr>
                <w:rFonts w:ascii="Arial" w:hAnsi="Arial" w:cs="Arial"/>
                <w:b/>
                <w:sz w:val="22"/>
                <w:szCs w:val="22"/>
              </w:rPr>
            </w:pPr>
            <w:r w:rsidRPr="000917BB">
              <w:rPr>
                <w:rFonts w:ascii="Arial" w:hAnsi="Arial" w:cs="Arial"/>
                <w:b/>
                <w:sz w:val="22"/>
                <w:szCs w:val="22"/>
              </w:rPr>
              <w:t>$</w:t>
            </w:r>
            <w:r w:rsidR="00C20E6C" w:rsidRPr="000917BB">
              <w:rPr>
                <w:rFonts w:ascii="Arial" w:hAnsi="Arial" w:cs="Arial"/>
                <w:b/>
                <w:sz w:val="22"/>
                <w:szCs w:val="22"/>
              </w:rPr>
              <w:t>2,337,592,000</w:t>
            </w:r>
          </w:p>
        </w:tc>
        <w:tc>
          <w:tcPr>
            <w:tcW w:w="161" w:type="dxa"/>
            <w:tcBorders>
              <w:top w:val="nil"/>
              <w:left w:val="nil"/>
              <w:bottom w:val="nil"/>
              <w:right w:val="nil"/>
            </w:tcBorders>
          </w:tcPr>
          <w:p w14:paraId="6C04C87B" w14:textId="77777777" w:rsidR="009A5126" w:rsidRPr="000917BB" w:rsidRDefault="009A5126" w:rsidP="009A5126">
            <w:pPr>
              <w:jc w:val="right"/>
              <w:rPr>
                <w:rFonts w:ascii="Arial" w:hAnsi="Arial" w:cs="Arial"/>
                <w:b/>
                <w:sz w:val="22"/>
                <w:szCs w:val="22"/>
              </w:rPr>
            </w:pPr>
          </w:p>
        </w:tc>
        <w:tc>
          <w:tcPr>
            <w:tcW w:w="896" w:type="dxa"/>
            <w:tcBorders>
              <w:top w:val="single" w:sz="2" w:space="0" w:color="auto"/>
              <w:left w:val="nil"/>
              <w:bottom w:val="nil"/>
              <w:right w:val="single" w:sz="2" w:space="0" w:color="FFFFFF" w:themeColor="background1"/>
            </w:tcBorders>
            <w:tcMar>
              <w:top w:w="72" w:type="dxa"/>
              <w:bottom w:w="72" w:type="dxa"/>
            </w:tcMar>
          </w:tcPr>
          <w:p w14:paraId="0E8C1AA3" w14:textId="668D4DBC" w:rsidR="009A5126" w:rsidRPr="000917BB" w:rsidRDefault="000917BB" w:rsidP="009A5126">
            <w:pPr>
              <w:jc w:val="right"/>
              <w:rPr>
                <w:rFonts w:ascii="Arial" w:hAnsi="Arial" w:cs="Arial"/>
                <w:b/>
                <w:sz w:val="22"/>
                <w:szCs w:val="22"/>
              </w:rPr>
            </w:pPr>
            <w:r w:rsidRPr="000917BB">
              <w:rPr>
                <w:rFonts w:ascii="Arial" w:hAnsi="Arial" w:cs="Arial"/>
                <w:b/>
                <w:sz w:val="22"/>
                <w:szCs w:val="22"/>
              </w:rPr>
              <w:t>5,834.7</w:t>
            </w:r>
          </w:p>
        </w:tc>
        <w:tc>
          <w:tcPr>
            <w:tcW w:w="196" w:type="dxa"/>
            <w:tcBorders>
              <w:top w:val="nil"/>
              <w:left w:val="single" w:sz="2" w:space="0" w:color="FFFFFF" w:themeColor="background1"/>
              <w:bottom w:val="nil"/>
              <w:right w:val="single" w:sz="2" w:space="0" w:color="FFFFFF" w:themeColor="background1"/>
            </w:tcBorders>
          </w:tcPr>
          <w:p w14:paraId="2FE68DBF" w14:textId="77777777" w:rsidR="009A5126" w:rsidRPr="000917BB" w:rsidRDefault="009A5126" w:rsidP="009A5126">
            <w:pPr>
              <w:jc w:val="right"/>
              <w:rPr>
                <w:rFonts w:ascii="Arial" w:hAnsi="Arial" w:cs="Arial"/>
                <w:b/>
                <w:sz w:val="22"/>
                <w:szCs w:val="22"/>
              </w:rPr>
            </w:pPr>
          </w:p>
        </w:tc>
        <w:tc>
          <w:tcPr>
            <w:tcW w:w="932" w:type="dxa"/>
            <w:gridSpan w:val="2"/>
            <w:tcBorders>
              <w:top w:val="single" w:sz="2" w:space="0" w:color="auto"/>
              <w:left w:val="single" w:sz="2" w:space="0" w:color="FFFFFF" w:themeColor="background1"/>
              <w:bottom w:val="nil"/>
              <w:right w:val="single" w:sz="2" w:space="0" w:color="FFFFFF" w:themeColor="background1"/>
            </w:tcBorders>
            <w:tcMar>
              <w:top w:w="72" w:type="dxa"/>
              <w:left w:w="115" w:type="dxa"/>
              <w:bottom w:w="72" w:type="dxa"/>
              <w:right w:w="115" w:type="dxa"/>
            </w:tcMar>
          </w:tcPr>
          <w:p w14:paraId="3AD8AA82" w14:textId="1AFCCA18" w:rsidR="009A5126" w:rsidRPr="000917BB" w:rsidRDefault="000917BB" w:rsidP="009A5126">
            <w:pPr>
              <w:jc w:val="right"/>
              <w:rPr>
                <w:rFonts w:ascii="Arial" w:hAnsi="Arial" w:cs="Arial"/>
                <w:b/>
                <w:sz w:val="22"/>
                <w:szCs w:val="22"/>
              </w:rPr>
            </w:pPr>
            <w:r w:rsidRPr="000917BB">
              <w:rPr>
                <w:rFonts w:ascii="Arial" w:hAnsi="Arial" w:cs="Arial"/>
                <w:b/>
                <w:sz w:val="22"/>
                <w:szCs w:val="22"/>
              </w:rPr>
              <w:t>100.5</w:t>
            </w:r>
          </w:p>
        </w:tc>
      </w:tr>
      <w:tr w:rsidR="000917BB" w:rsidRPr="008D0300" w14:paraId="214629B8" w14:textId="77777777" w:rsidTr="00F51092">
        <w:trPr>
          <w:cantSplit/>
          <w:trHeight w:val="261"/>
          <w:jc w:val="center"/>
        </w:trPr>
        <w:tc>
          <w:tcPr>
            <w:tcW w:w="3840" w:type="dxa"/>
            <w:tcBorders>
              <w:top w:val="nil"/>
              <w:left w:val="nil"/>
              <w:bottom w:val="nil"/>
              <w:right w:val="nil"/>
            </w:tcBorders>
            <w:tcMar>
              <w:top w:w="72" w:type="dxa"/>
              <w:left w:w="115" w:type="dxa"/>
              <w:bottom w:w="72" w:type="dxa"/>
              <w:right w:w="115" w:type="dxa"/>
            </w:tcMar>
          </w:tcPr>
          <w:p w14:paraId="012AD374" w14:textId="6C87A5EA" w:rsidR="00A27DEA" w:rsidRPr="00A27DEA" w:rsidRDefault="00087CD0" w:rsidP="00087CD0">
            <w:pPr>
              <w:rPr>
                <w:rFonts w:ascii="Arial" w:hAnsi="Arial" w:cs="Arial"/>
                <w:sz w:val="22"/>
                <w:szCs w:val="22"/>
              </w:rPr>
            </w:pPr>
            <w:r>
              <w:rPr>
                <w:rFonts w:ascii="Arial" w:hAnsi="Arial" w:cs="Arial"/>
                <w:sz w:val="22"/>
                <w:szCs w:val="22"/>
              </w:rPr>
              <w:t>% Change from prior biennium</w:t>
            </w:r>
          </w:p>
        </w:tc>
        <w:tc>
          <w:tcPr>
            <w:tcW w:w="180" w:type="dxa"/>
            <w:tcBorders>
              <w:top w:val="nil"/>
              <w:left w:val="nil"/>
              <w:bottom w:val="nil"/>
              <w:right w:val="nil"/>
            </w:tcBorders>
          </w:tcPr>
          <w:p w14:paraId="62FEBC77" w14:textId="77777777" w:rsidR="00A27DEA" w:rsidRPr="008D0300" w:rsidRDefault="00A27DEA" w:rsidP="009A5126">
            <w:pPr>
              <w:jc w:val="right"/>
              <w:rPr>
                <w:rFonts w:ascii="Arial" w:hAnsi="Arial" w:cs="Arial"/>
                <w:sz w:val="22"/>
                <w:szCs w:val="22"/>
              </w:rPr>
            </w:pPr>
          </w:p>
        </w:tc>
        <w:tc>
          <w:tcPr>
            <w:tcW w:w="1596" w:type="dxa"/>
            <w:tcBorders>
              <w:top w:val="nil"/>
              <w:left w:val="nil"/>
              <w:bottom w:val="nil"/>
              <w:right w:val="nil"/>
            </w:tcBorders>
          </w:tcPr>
          <w:p w14:paraId="61910B54" w14:textId="3A4C1FA8" w:rsidR="00A27DEA" w:rsidRPr="000917BB" w:rsidRDefault="000917BB" w:rsidP="009A5126">
            <w:pPr>
              <w:jc w:val="right"/>
              <w:rPr>
                <w:rFonts w:ascii="Arial" w:hAnsi="Arial" w:cs="Arial"/>
                <w:sz w:val="22"/>
                <w:szCs w:val="22"/>
              </w:rPr>
            </w:pPr>
            <w:r w:rsidRPr="000917BB">
              <w:rPr>
                <w:rFonts w:ascii="Arial" w:hAnsi="Arial" w:cs="Arial"/>
                <w:sz w:val="22"/>
                <w:szCs w:val="22"/>
              </w:rPr>
              <w:t>18.89</w:t>
            </w:r>
            <w:r w:rsidR="0046704C" w:rsidRPr="000917BB">
              <w:rPr>
                <w:rFonts w:ascii="Arial" w:hAnsi="Arial" w:cs="Arial"/>
                <w:sz w:val="22"/>
                <w:szCs w:val="22"/>
              </w:rPr>
              <w:t>%</w:t>
            </w:r>
          </w:p>
        </w:tc>
        <w:tc>
          <w:tcPr>
            <w:tcW w:w="165" w:type="dxa"/>
            <w:tcBorders>
              <w:top w:val="nil"/>
              <w:left w:val="nil"/>
              <w:bottom w:val="nil"/>
              <w:right w:val="nil"/>
            </w:tcBorders>
          </w:tcPr>
          <w:p w14:paraId="146C829D" w14:textId="4CA52A1B" w:rsidR="00A27DEA" w:rsidRPr="000917BB" w:rsidRDefault="00A27DEA" w:rsidP="009A5126">
            <w:pPr>
              <w:jc w:val="right"/>
              <w:rPr>
                <w:rFonts w:ascii="Arial" w:hAnsi="Arial" w:cs="Arial"/>
                <w:sz w:val="22"/>
                <w:szCs w:val="22"/>
              </w:rPr>
            </w:pPr>
          </w:p>
        </w:tc>
        <w:tc>
          <w:tcPr>
            <w:tcW w:w="1514" w:type="dxa"/>
            <w:tcBorders>
              <w:top w:val="nil"/>
              <w:left w:val="nil"/>
              <w:bottom w:val="nil"/>
              <w:right w:val="nil"/>
            </w:tcBorders>
            <w:tcMar>
              <w:top w:w="72" w:type="dxa"/>
              <w:bottom w:w="72" w:type="dxa"/>
            </w:tcMar>
          </w:tcPr>
          <w:p w14:paraId="21DB867F" w14:textId="1A1D1EF4" w:rsidR="00A27DEA" w:rsidRPr="00855CC3" w:rsidRDefault="00A27DEA" w:rsidP="009A5126">
            <w:pPr>
              <w:jc w:val="right"/>
              <w:rPr>
                <w:rFonts w:ascii="Arial" w:hAnsi="Arial" w:cs="Arial"/>
                <w:sz w:val="22"/>
                <w:szCs w:val="22"/>
                <w:highlight w:val="yellow"/>
              </w:rPr>
            </w:pPr>
          </w:p>
        </w:tc>
        <w:tc>
          <w:tcPr>
            <w:tcW w:w="161" w:type="dxa"/>
            <w:tcBorders>
              <w:top w:val="nil"/>
              <w:left w:val="nil"/>
              <w:bottom w:val="nil"/>
              <w:right w:val="nil"/>
            </w:tcBorders>
          </w:tcPr>
          <w:p w14:paraId="7DC37838" w14:textId="225AD89C" w:rsidR="00A27DEA" w:rsidRPr="00855CC3" w:rsidRDefault="00A27DEA" w:rsidP="009A5126">
            <w:pPr>
              <w:jc w:val="right"/>
              <w:rPr>
                <w:rFonts w:ascii="Arial" w:hAnsi="Arial" w:cs="Arial"/>
                <w:sz w:val="22"/>
                <w:szCs w:val="22"/>
                <w:highlight w:val="yellow"/>
              </w:rPr>
            </w:pPr>
          </w:p>
        </w:tc>
        <w:tc>
          <w:tcPr>
            <w:tcW w:w="896" w:type="dxa"/>
            <w:tcBorders>
              <w:top w:val="nil"/>
              <w:left w:val="nil"/>
              <w:bottom w:val="nil"/>
              <w:right w:val="single" w:sz="2" w:space="0" w:color="FFFFFF" w:themeColor="background1"/>
            </w:tcBorders>
            <w:tcMar>
              <w:top w:w="72" w:type="dxa"/>
              <w:bottom w:w="72" w:type="dxa"/>
            </w:tcMar>
          </w:tcPr>
          <w:p w14:paraId="4EE8047D" w14:textId="7E003D4B" w:rsidR="00A27DEA" w:rsidRPr="00855CC3" w:rsidRDefault="00A27DEA" w:rsidP="009A5126">
            <w:pPr>
              <w:jc w:val="right"/>
              <w:rPr>
                <w:rFonts w:ascii="Arial" w:hAnsi="Arial" w:cs="Arial"/>
                <w:sz w:val="22"/>
                <w:szCs w:val="22"/>
                <w:highlight w:val="yellow"/>
              </w:rPr>
            </w:pPr>
          </w:p>
        </w:tc>
        <w:tc>
          <w:tcPr>
            <w:tcW w:w="196" w:type="dxa"/>
            <w:tcBorders>
              <w:top w:val="nil"/>
              <w:left w:val="single" w:sz="2" w:space="0" w:color="FFFFFF" w:themeColor="background1"/>
              <w:bottom w:val="nil"/>
              <w:right w:val="single" w:sz="2" w:space="0" w:color="FFFFFF" w:themeColor="background1"/>
            </w:tcBorders>
          </w:tcPr>
          <w:p w14:paraId="36010AE6" w14:textId="384BDC8A" w:rsidR="00A27DEA" w:rsidRPr="00855CC3" w:rsidRDefault="00A27DEA" w:rsidP="009A5126">
            <w:pPr>
              <w:jc w:val="right"/>
              <w:rPr>
                <w:rFonts w:ascii="Arial" w:hAnsi="Arial" w:cs="Arial"/>
                <w:sz w:val="22"/>
                <w:szCs w:val="22"/>
                <w:highlight w:val="yellow"/>
              </w:rPr>
            </w:pPr>
          </w:p>
        </w:tc>
        <w:tc>
          <w:tcPr>
            <w:tcW w:w="932" w:type="dxa"/>
            <w:gridSpan w:val="2"/>
            <w:tcBorders>
              <w:top w:val="nil"/>
              <w:left w:val="single" w:sz="2" w:space="0" w:color="FFFFFF" w:themeColor="background1"/>
              <w:bottom w:val="nil"/>
              <w:right w:val="single" w:sz="2" w:space="0" w:color="FFFFFF" w:themeColor="background1"/>
            </w:tcBorders>
            <w:tcMar>
              <w:top w:w="72" w:type="dxa"/>
              <w:left w:w="115" w:type="dxa"/>
              <w:bottom w:w="72" w:type="dxa"/>
              <w:right w:w="115" w:type="dxa"/>
            </w:tcMar>
          </w:tcPr>
          <w:p w14:paraId="610BEB13" w14:textId="5FDF2DFC" w:rsidR="00A27DEA" w:rsidRPr="00855CC3" w:rsidRDefault="00A27DEA" w:rsidP="009A5126">
            <w:pPr>
              <w:jc w:val="right"/>
              <w:rPr>
                <w:rFonts w:ascii="Arial" w:hAnsi="Arial" w:cs="Arial"/>
                <w:sz w:val="22"/>
                <w:szCs w:val="22"/>
                <w:highlight w:val="yellow"/>
              </w:rPr>
            </w:pPr>
          </w:p>
        </w:tc>
      </w:tr>
      <w:tr w:rsidR="000917BB" w:rsidRPr="008D0300" w14:paraId="6B57AA58" w14:textId="77777777" w:rsidTr="00F51092">
        <w:trPr>
          <w:cantSplit/>
          <w:trHeight w:val="396"/>
          <w:jc w:val="center"/>
        </w:trPr>
        <w:tc>
          <w:tcPr>
            <w:tcW w:w="3840" w:type="dxa"/>
            <w:tcBorders>
              <w:top w:val="nil"/>
              <w:left w:val="nil"/>
              <w:bottom w:val="dotted" w:sz="4" w:space="0" w:color="auto"/>
              <w:right w:val="nil"/>
            </w:tcBorders>
            <w:tcMar>
              <w:top w:w="72" w:type="dxa"/>
              <w:left w:w="115" w:type="dxa"/>
              <w:bottom w:w="72" w:type="dxa"/>
              <w:right w:w="115" w:type="dxa"/>
            </w:tcMar>
          </w:tcPr>
          <w:p w14:paraId="05E85242" w14:textId="0330A860" w:rsidR="00A27DEA" w:rsidRPr="00A27DEA" w:rsidRDefault="007D0720" w:rsidP="0004254D">
            <w:pPr>
              <w:rPr>
                <w:rFonts w:ascii="Arial" w:hAnsi="Arial" w:cs="Arial"/>
                <w:sz w:val="22"/>
                <w:szCs w:val="22"/>
              </w:rPr>
            </w:pPr>
            <w:r>
              <w:rPr>
                <w:rFonts w:ascii="Arial" w:hAnsi="Arial" w:cs="Arial"/>
                <w:sz w:val="22"/>
                <w:szCs w:val="22"/>
              </w:rPr>
              <w:t xml:space="preserve">Dec. Pkg. as % </w:t>
            </w:r>
            <w:r w:rsidR="0004254D">
              <w:rPr>
                <w:rFonts w:ascii="Arial" w:hAnsi="Arial" w:cs="Arial"/>
                <w:sz w:val="22"/>
                <w:szCs w:val="22"/>
              </w:rPr>
              <w:t>of prior biennium</w:t>
            </w:r>
          </w:p>
        </w:tc>
        <w:tc>
          <w:tcPr>
            <w:tcW w:w="180" w:type="dxa"/>
            <w:tcBorders>
              <w:top w:val="nil"/>
              <w:left w:val="nil"/>
              <w:bottom w:val="dotted" w:sz="4" w:space="0" w:color="auto"/>
              <w:right w:val="nil"/>
            </w:tcBorders>
          </w:tcPr>
          <w:p w14:paraId="3CA8704A" w14:textId="77777777" w:rsidR="00A27DEA" w:rsidRPr="008D0300" w:rsidRDefault="00A27DEA" w:rsidP="009A5126">
            <w:pPr>
              <w:jc w:val="right"/>
              <w:rPr>
                <w:rFonts w:ascii="Arial" w:hAnsi="Arial" w:cs="Arial"/>
                <w:sz w:val="22"/>
                <w:szCs w:val="22"/>
              </w:rPr>
            </w:pPr>
          </w:p>
        </w:tc>
        <w:tc>
          <w:tcPr>
            <w:tcW w:w="1596" w:type="dxa"/>
            <w:tcBorders>
              <w:top w:val="nil"/>
              <w:left w:val="nil"/>
              <w:bottom w:val="dotted" w:sz="4" w:space="0" w:color="auto"/>
              <w:right w:val="nil"/>
            </w:tcBorders>
          </w:tcPr>
          <w:p w14:paraId="24E89735" w14:textId="31751FA2" w:rsidR="00A27DEA" w:rsidRPr="00855CC3" w:rsidRDefault="000917BB" w:rsidP="009A5126">
            <w:pPr>
              <w:jc w:val="right"/>
              <w:rPr>
                <w:rFonts w:ascii="Arial" w:hAnsi="Arial" w:cs="Arial"/>
                <w:sz w:val="22"/>
                <w:szCs w:val="22"/>
                <w:highlight w:val="yellow"/>
              </w:rPr>
            </w:pPr>
            <w:r w:rsidRPr="000917BB">
              <w:rPr>
                <w:rFonts w:ascii="Arial" w:hAnsi="Arial" w:cs="Arial"/>
                <w:sz w:val="22"/>
                <w:szCs w:val="22"/>
              </w:rPr>
              <w:t>16.17</w:t>
            </w:r>
            <w:r w:rsidR="0046704C" w:rsidRPr="000917BB">
              <w:rPr>
                <w:rFonts w:ascii="Arial" w:hAnsi="Arial" w:cs="Arial"/>
                <w:sz w:val="22"/>
                <w:szCs w:val="22"/>
              </w:rPr>
              <w:t>%</w:t>
            </w:r>
          </w:p>
        </w:tc>
        <w:tc>
          <w:tcPr>
            <w:tcW w:w="165" w:type="dxa"/>
            <w:tcBorders>
              <w:top w:val="nil"/>
              <w:left w:val="nil"/>
              <w:bottom w:val="dotted" w:sz="4" w:space="0" w:color="auto"/>
              <w:right w:val="nil"/>
            </w:tcBorders>
          </w:tcPr>
          <w:p w14:paraId="09FD9B4F" w14:textId="77777777" w:rsidR="00A27DEA" w:rsidRPr="00855CC3" w:rsidRDefault="00A27DEA" w:rsidP="009A5126">
            <w:pPr>
              <w:jc w:val="right"/>
              <w:rPr>
                <w:rFonts w:ascii="Arial" w:hAnsi="Arial" w:cs="Arial"/>
                <w:sz w:val="22"/>
                <w:szCs w:val="22"/>
                <w:highlight w:val="yellow"/>
              </w:rPr>
            </w:pPr>
          </w:p>
        </w:tc>
        <w:tc>
          <w:tcPr>
            <w:tcW w:w="1514" w:type="dxa"/>
            <w:tcBorders>
              <w:top w:val="nil"/>
              <w:left w:val="nil"/>
              <w:bottom w:val="dotted" w:sz="4" w:space="0" w:color="auto"/>
              <w:right w:val="nil"/>
            </w:tcBorders>
            <w:tcMar>
              <w:top w:w="72" w:type="dxa"/>
              <w:bottom w:w="72" w:type="dxa"/>
            </w:tcMar>
          </w:tcPr>
          <w:p w14:paraId="613BCB03" w14:textId="194819C1" w:rsidR="00A27DEA" w:rsidRPr="00855CC3" w:rsidRDefault="00A27DEA" w:rsidP="009A5126">
            <w:pPr>
              <w:jc w:val="right"/>
              <w:rPr>
                <w:rFonts w:ascii="Arial" w:hAnsi="Arial" w:cs="Arial"/>
                <w:sz w:val="22"/>
                <w:szCs w:val="22"/>
                <w:highlight w:val="yellow"/>
              </w:rPr>
            </w:pPr>
          </w:p>
        </w:tc>
        <w:tc>
          <w:tcPr>
            <w:tcW w:w="161" w:type="dxa"/>
            <w:tcBorders>
              <w:top w:val="nil"/>
              <w:left w:val="nil"/>
              <w:bottom w:val="dotted" w:sz="4" w:space="0" w:color="auto"/>
              <w:right w:val="nil"/>
            </w:tcBorders>
          </w:tcPr>
          <w:p w14:paraId="4DE81D76" w14:textId="64293666" w:rsidR="00A27DEA" w:rsidRPr="00855CC3" w:rsidRDefault="00A27DEA" w:rsidP="009A5126">
            <w:pPr>
              <w:jc w:val="right"/>
              <w:rPr>
                <w:rFonts w:ascii="Arial" w:hAnsi="Arial" w:cs="Arial"/>
                <w:sz w:val="22"/>
                <w:szCs w:val="22"/>
                <w:highlight w:val="yellow"/>
              </w:rPr>
            </w:pPr>
          </w:p>
        </w:tc>
        <w:tc>
          <w:tcPr>
            <w:tcW w:w="896" w:type="dxa"/>
            <w:tcBorders>
              <w:top w:val="nil"/>
              <w:left w:val="nil"/>
              <w:bottom w:val="dotted" w:sz="4" w:space="0" w:color="auto"/>
              <w:right w:val="single" w:sz="2" w:space="0" w:color="FFFFFF" w:themeColor="background1"/>
            </w:tcBorders>
            <w:tcMar>
              <w:top w:w="72" w:type="dxa"/>
              <w:bottom w:w="72" w:type="dxa"/>
            </w:tcMar>
          </w:tcPr>
          <w:p w14:paraId="5CBF1CDE" w14:textId="3BA20A0A" w:rsidR="00A27DEA" w:rsidRPr="00855CC3" w:rsidRDefault="00A27DEA" w:rsidP="009A5126">
            <w:pPr>
              <w:jc w:val="right"/>
              <w:rPr>
                <w:rFonts w:ascii="Arial" w:hAnsi="Arial" w:cs="Arial"/>
                <w:sz w:val="22"/>
                <w:szCs w:val="22"/>
                <w:highlight w:val="yellow"/>
              </w:rPr>
            </w:pPr>
          </w:p>
        </w:tc>
        <w:tc>
          <w:tcPr>
            <w:tcW w:w="196" w:type="dxa"/>
            <w:tcBorders>
              <w:top w:val="nil"/>
              <w:left w:val="single" w:sz="2" w:space="0" w:color="FFFFFF" w:themeColor="background1"/>
              <w:bottom w:val="dotted" w:sz="4" w:space="0" w:color="auto"/>
              <w:right w:val="single" w:sz="2" w:space="0" w:color="FFFFFF" w:themeColor="background1"/>
            </w:tcBorders>
          </w:tcPr>
          <w:p w14:paraId="2AC36B28" w14:textId="77777777" w:rsidR="00A27DEA" w:rsidRPr="00855CC3" w:rsidRDefault="00A27DEA" w:rsidP="009A5126">
            <w:pPr>
              <w:jc w:val="right"/>
              <w:rPr>
                <w:rFonts w:ascii="Arial" w:hAnsi="Arial" w:cs="Arial"/>
                <w:sz w:val="22"/>
                <w:szCs w:val="22"/>
                <w:highlight w:val="yellow"/>
              </w:rPr>
            </w:pPr>
          </w:p>
        </w:tc>
        <w:tc>
          <w:tcPr>
            <w:tcW w:w="932" w:type="dxa"/>
            <w:gridSpan w:val="2"/>
            <w:tcBorders>
              <w:top w:val="nil"/>
              <w:left w:val="single" w:sz="2" w:space="0" w:color="FFFFFF" w:themeColor="background1"/>
              <w:bottom w:val="dotted" w:sz="4" w:space="0" w:color="auto"/>
              <w:right w:val="single" w:sz="2" w:space="0" w:color="FFFFFF" w:themeColor="background1"/>
            </w:tcBorders>
            <w:tcMar>
              <w:top w:w="72" w:type="dxa"/>
              <w:left w:w="115" w:type="dxa"/>
              <w:bottom w:w="72" w:type="dxa"/>
              <w:right w:w="115" w:type="dxa"/>
            </w:tcMar>
          </w:tcPr>
          <w:p w14:paraId="25F2B6B3" w14:textId="77777777" w:rsidR="00A27DEA" w:rsidRPr="00855CC3" w:rsidRDefault="00A27DEA" w:rsidP="009A5126">
            <w:pPr>
              <w:jc w:val="right"/>
              <w:rPr>
                <w:rFonts w:ascii="Arial" w:hAnsi="Arial" w:cs="Arial"/>
                <w:sz w:val="22"/>
                <w:szCs w:val="22"/>
                <w:highlight w:val="yellow"/>
              </w:rPr>
            </w:pPr>
          </w:p>
        </w:tc>
      </w:tr>
      <w:tr w:rsidR="006F4699" w:rsidRPr="008D0300" w14:paraId="28475DC1" w14:textId="77777777" w:rsidTr="00580825">
        <w:trPr>
          <w:gridAfter w:val="1"/>
          <w:wAfter w:w="6" w:type="dxa"/>
          <w:cantSplit/>
          <w:trHeight w:val="287"/>
          <w:jc w:val="center"/>
        </w:trPr>
        <w:tc>
          <w:tcPr>
            <w:tcW w:w="9474" w:type="dxa"/>
            <w:gridSpan w:val="9"/>
            <w:tcBorders>
              <w:top w:val="dotted" w:sz="4" w:space="0" w:color="auto"/>
              <w:left w:val="nil"/>
              <w:bottom w:val="nil"/>
              <w:right w:val="single" w:sz="2" w:space="0" w:color="FFFFFF" w:themeColor="background1"/>
            </w:tcBorders>
            <w:tcMar>
              <w:top w:w="72" w:type="dxa"/>
              <w:left w:w="115" w:type="dxa"/>
              <w:bottom w:w="72" w:type="dxa"/>
              <w:right w:w="115" w:type="dxa"/>
            </w:tcMar>
            <w:vAlign w:val="center"/>
          </w:tcPr>
          <w:p w14:paraId="083304AF" w14:textId="036E9D73" w:rsidR="006F4699" w:rsidRPr="006F4699" w:rsidRDefault="006F4699" w:rsidP="00EC5BF3">
            <w:pPr>
              <w:spacing w:line="264" w:lineRule="auto"/>
              <w:ind w:left="216"/>
              <w:rPr>
                <w:rFonts w:ascii="Arial" w:hAnsi="Arial" w:cs="Arial"/>
                <w:b/>
                <w:sz w:val="22"/>
                <w:szCs w:val="22"/>
              </w:rPr>
            </w:pPr>
            <w:r w:rsidRPr="006F4699">
              <w:rPr>
                <w:rFonts w:ascii="Arial" w:hAnsi="Arial" w:cs="Arial"/>
                <w:b/>
                <w:sz w:val="22"/>
                <w:szCs w:val="22"/>
              </w:rPr>
              <w:t>Major Revenue Sources</w:t>
            </w:r>
            <w:r>
              <w:rPr>
                <w:rFonts w:ascii="Arial" w:hAnsi="Arial" w:cs="Arial"/>
                <w:b/>
                <w:sz w:val="22"/>
                <w:szCs w:val="22"/>
              </w:rPr>
              <w:t xml:space="preserve">: </w:t>
            </w:r>
            <w:r w:rsidR="00855CC3" w:rsidRPr="00502C56">
              <w:rPr>
                <w:rFonts w:ascii="Arial" w:hAnsi="Arial" w:cs="Arial"/>
                <w:sz w:val="22"/>
                <w:szCs w:val="22"/>
              </w:rPr>
              <w:t>Sales tax, grants, contracts for services, fares</w:t>
            </w:r>
          </w:p>
        </w:tc>
      </w:tr>
      <w:tr w:rsidR="00B40E00" w:rsidRPr="008D0300" w14:paraId="768B4162" w14:textId="77777777" w:rsidTr="00443370">
        <w:trPr>
          <w:gridAfter w:val="1"/>
          <w:wAfter w:w="6" w:type="dxa"/>
          <w:cantSplit/>
          <w:trHeight w:val="396"/>
          <w:jc w:val="center"/>
        </w:trPr>
        <w:tc>
          <w:tcPr>
            <w:tcW w:w="9474" w:type="dxa"/>
            <w:gridSpan w:val="9"/>
            <w:tcBorders>
              <w:top w:val="nil"/>
              <w:left w:val="nil"/>
              <w:bottom w:val="single" w:sz="12" w:space="0" w:color="auto"/>
              <w:right w:val="single" w:sz="2" w:space="0" w:color="FFFFFF" w:themeColor="background1"/>
            </w:tcBorders>
            <w:tcMar>
              <w:top w:w="72" w:type="dxa"/>
              <w:left w:w="115" w:type="dxa"/>
              <w:bottom w:w="72" w:type="dxa"/>
              <w:right w:w="115" w:type="dxa"/>
            </w:tcMar>
            <w:vAlign w:val="center"/>
          </w:tcPr>
          <w:p w14:paraId="45234E9A" w14:textId="4B01BB86" w:rsidR="00B40E00" w:rsidRPr="008C07EB" w:rsidRDefault="008C07EB" w:rsidP="007D0720">
            <w:pPr>
              <w:spacing w:line="264" w:lineRule="auto"/>
              <w:ind w:left="216"/>
              <w:rPr>
                <w:rFonts w:ascii="Arial" w:hAnsi="Arial" w:cs="Arial"/>
                <w:sz w:val="22"/>
                <w:szCs w:val="22"/>
              </w:rPr>
            </w:pPr>
            <w:r>
              <w:rPr>
                <w:rFonts w:ascii="Arial" w:hAnsi="Arial" w:cs="Arial"/>
                <w:b/>
                <w:sz w:val="22"/>
                <w:szCs w:val="22"/>
              </w:rPr>
              <w:t xml:space="preserve">Base </w:t>
            </w:r>
            <w:r w:rsidR="00B40E00">
              <w:rPr>
                <w:rFonts w:ascii="Arial" w:hAnsi="Arial" w:cs="Arial"/>
                <w:b/>
                <w:sz w:val="22"/>
                <w:szCs w:val="22"/>
              </w:rPr>
              <w:t xml:space="preserve">Budget </w:t>
            </w:r>
            <w:r>
              <w:rPr>
                <w:rFonts w:ascii="Arial" w:hAnsi="Arial" w:cs="Arial"/>
                <w:b/>
                <w:sz w:val="22"/>
                <w:szCs w:val="22"/>
              </w:rPr>
              <w:t>Assumptions</w:t>
            </w:r>
            <w:r w:rsidR="00B40E00">
              <w:rPr>
                <w:rFonts w:ascii="Arial" w:hAnsi="Arial" w:cs="Arial"/>
                <w:b/>
                <w:sz w:val="22"/>
                <w:szCs w:val="22"/>
              </w:rPr>
              <w:t>:</w:t>
            </w:r>
            <w:r>
              <w:rPr>
                <w:rFonts w:ascii="Arial" w:hAnsi="Arial" w:cs="Arial"/>
                <w:sz w:val="22"/>
                <w:szCs w:val="22"/>
              </w:rPr>
              <w:t xml:space="preserve"> </w:t>
            </w:r>
            <w:r w:rsidR="0075760D" w:rsidRPr="00502C56">
              <w:rPr>
                <w:rFonts w:ascii="Arial" w:hAnsi="Arial" w:cs="Arial"/>
                <w:sz w:val="22"/>
                <w:szCs w:val="22"/>
              </w:rPr>
              <w:t xml:space="preserve">(1) </w:t>
            </w:r>
            <w:r w:rsidR="003417AF" w:rsidRPr="007A7292">
              <w:rPr>
                <w:rFonts w:ascii="Arial" w:hAnsi="Arial" w:cs="Arial"/>
                <w:sz w:val="22"/>
                <w:szCs w:val="22"/>
              </w:rPr>
              <w:t>4</w:t>
            </w:r>
            <w:r w:rsidR="0075760D" w:rsidRPr="007A7292">
              <w:rPr>
                <w:rFonts w:ascii="Arial" w:hAnsi="Arial" w:cs="Arial"/>
                <w:sz w:val="22"/>
                <w:szCs w:val="22"/>
              </w:rPr>
              <w:t>% GWI for ATU represented employees in 202</w:t>
            </w:r>
            <w:r w:rsidR="00B45092" w:rsidRPr="007A7292">
              <w:rPr>
                <w:rFonts w:ascii="Arial" w:hAnsi="Arial" w:cs="Arial"/>
                <w:sz w:val="22"/>
                <w:szCs w:val="22"/>
              </w:rPr>
              <w:t>3</w:t>
            </w:r>
            <w:r w:rsidR="0075760D" w:rsidRPr="007A7292">
              <w:rPr>
                <w:rFonts w:ascii="Arial" w:hAnsi="Arial" w:cs="Arial"/>
                <w:sz w:val="22"/>
                <w:szCs w:val="22"/>
              </w:rPr>
              <w:t xml:space="preserve">; (2) </w:t>
            </w:r>
            <w:r w:rsidR="00B45092" w:rsidRPr="007A7292">
              <w:rPr>
                <w:rFonts w:ascii="Arial" w:hAnsi="Arial" w:cs="Arial"/>
                <w:sz w:val="22"/>
                <w:szCs w:val="22"/>
              </w:rPr>
              <w:t>4</w:t>
            </w:r>
            <w:r w:rsidR="0075760D" w:rsidRPr="007A7292">
              <w:rPr>
                <w:rFonts w:ascii="Arial" w:hAnsi="Arial" w:cs="Arial"/>
                <w:sz w:val="22"/>
                <w:szCs w:val="22"/>
              </w:rPr>
              <w:t xml:space="preserve">% GWI </w:t>
            </w:r>
            <w:r w:rsidR="00B45092" w:rsidRPr="007A7292">
              <w:rPr>
                <w:rFonts w:ascii="Arial" w:hAnsi="Arial" w:cs="Arial"/>
                <w:sz w:val="22"/>
                <w:szCs w:val="22"/>
              </w:rPr>
              <w:t>for</w:t>
            </w:r>
            <w:r w:rsidR="0075760D" w:rsidRPr="007A7292">
              <w:rPr>
                <w:rFonts w:ascii="Arial" w:hAnsi="Arial" w:cs="Arial"/>
                <w:sz w:val="22"/>
                <w:szCs w:val="22"/>
              </w:rPr>
              <w:t xml:space="preserve"> ATU represented employees in 202</w:t>
            </w:r>
            <w:r w:rsidR="00B45092" w:rsidRPr="007A7292">
              <w:rPr>
                <w:rFonts w:ascii="Arial" w:hAnsi="Arial" w:cs="Arial"/>
                <w:sz w:val="22"/>
                <w:szCs w:val="22"/>
              </w:rPr>
              <w:t>4</w:t>
            </w:r>
            <w:r w:rsidR="0075760D" w:rsidRPr="00502C56">
              <w:rPr>
                <w:rFonts w:ascii="Arial" w:hAnsi="Arial" w:cs="Arial"/>
                <w:sz w:val="22"/>
                <w:szCs w:val="22"/>
              </w:rPr>
              <w:t xml:space="preserve">; (3) </w:t>
            </w:r>
            <w:r w:rsidR="001A5423">
              <w:rPr>
                <w:rFonts w:ascii="Arial" w:hAnsi="Arial" w:cs="Arial"/>
                <w:sz w:val="22"/>
                <w:szCs w:val="22"/>
              </w:rPr>
              <w:t>4%</w:t>
            </w:r>
            <w:r w:rsidR="0075760D" w:rsidRPr="00502C56">
              <w:rPr>
                <w:rFonts w:ascii="Arial" w:hAnsi="Arial" w:cs="Arial"/>
                <w:sz w:val="22"/>
                <w:szCs w:val="22"/>
              </w:rPr>
              <w:t xml:space="preserve"> GWI for non-ATU employees in 202</w:t>
            </w:r>
            <w:r w:rsidR="001A5423">
              <w:rPr>
                <w:rFonts w:ascii="Arial" w:hAnsi="Arial" w:cs="Arial"/>
                <w:sz w:val="22"/>
                <w:szCs w:val="22"/>
              </w:rPr>
              <w:t>3</w:t>
            </w:r>
            <w:r w:rsidR="00BC6B87">
              <w:rPr>
                <w:rFonts w:ascii="Arial" w:hAnsi="Arial" w:cs="Arial"/>
                <w:sz w:val="22"/>
                <w:szCs w:val="22"/>
              </w:rPr>
              <w:t xml:space="preserve"> (Ord 19489)</w:t>
            </w:r>
            <w:r w:rsidR="0075760D" w:rsidRPr="00502C56">
              <w:rPr>
                <w:rFonts w:ascii="Arial" w:hAnsi="Arial" w:cs="Arial"/>
                <w:sz w:val="22"/>
                <w:szCs w:val="22"/>
              </w:rPr>
              <w:t xml:space="preserve">; (4) </w:t>
            </w:r>
            <w:r w:rsidR="001A5423">
              <w:rPr>
                <w:rFonts w:ascii="Arial" w:hAnsi="Arial" w:cs="Arial"/>
                <w:sz w:val="22"/>
                <w:szCs w:val="22"/>
              </w:rPr>
              <w:t>4</w:t>
            </w:r>
            <w:r w:rsidR="0075760D" w:rsidRPr="00502C56">
              <w:rPr>
                <w:rFonts w:ascii="Arial" w:hAnsi="Arial" w:cs="Arial"/>
                <w:sz w:val="22"/>
                <w:szCs w:val="22"/>
              </w:rPr>
              <w:t>% GWI for non-ATU employees in 202</w:t>
            </w:r>
            <w:r w:rsidR="001A5423">
              <w:rPr>
                <w:rFonts w:ascii="Arial" w:hAnsi="Arial" w:cs="Arial"/>
                <w:sz w:val="22"/>
                <w:szCs w:val="22"/>
              </w:rPr>
              <w:t>4</w:t>
            </w:r>
            <w:r w:rsidR="00BC6B87">
              <w:rPr>
                <w:rFonts w:ascii="Arial" w:hAnsi="Arial" w:cs="Arial"/>
                <w:sz w:val="22"/>
                <w:szCs w:val="22"/>
              </w:rPr>
              <w:t xml:space="preserve"> (Ord 19489)</w:t>
            </w:r>
            <w:r w:rsidR="0075760D" w:rsidRPr="00502C56">
              <w:rPr>
                <w:rFonts w:ascii="Arial" w:hAnsi="Arial" w:cs="Arial"/>
                <w:sz w:val="22"/>
                <w:szCs w:val="22"/>
              </w:rPr>
              <w:t>;</w:t>
            </w:r>
            <w:r w:rsidR="00C34CDD" w:rsidRPr="007A7292">
              <w:rPr>
                <w:rStyle w:val="FootnoteReference"/>
                <w:rFonts w:ascii="Arial" w:hAnsi="Arial" w:cs="Arial"/>
                <w:sz w:val="22"/>
                <w:szCs w:val="22"/>
              </w:rPr>
              <w:footnoteReference w:id="1"/>
            </w:r>
            <w:r w:rsidR="0075760D" w:rsidRPr="00502C56">
              <w:rPr>
                <w:rFonts w:ascii="Arial" w:hAnsi="Arial" w:cs="Arial"/>
                <w:sz w:val="22"/>
                <w:szCs w:val="22"/>
              </w:rPr>
              <w:t xml:space="preserve"> (5) </w:t>
            </w:r>
            <w:r w:rsidR="0075760D" w:rsidRPr="0011523F">
              <w:rPr>
                <w:rFonts w:ascii="Arial" w:hAnsi="Arial" w:cs="Arial"/>
                <w:sz w:val="22"/>
                <w:szCs w:val="22"/>
              </w:rPr>
              <w:t>ATU medical/</w:t>
            </w:r>
            <w:r w:rsidR="0011523F" w:rsidRPr="0011523F">
              <w:rPr>
                <w:rFonts w:ascii="Arial" w:hAnsi="Arial" w:cs="Arial"/>
                <w:sz w:val="22"/>
                <w:szCs w:val="22"/>
              </w:rPr>
              <w:t xml:space="preserve"> </w:t>
            </w:r>
            <w:r w:rsidR="0075760D" w:rsidRPr="0011523F">
              <w:rPr>
                <w:rFonts w:ascii="Arial" w:hAnsi="Arial" w:cs="Arial"/>
                <w:sz w:val="22"/>
                <w:szCs w:val="22"/>
              </w:rPr>
              <w:t>dental rate</w:t>
            </w:r>
            <w:r w:rsidR="0011523F" w:rsidRPr="0011523F">
              <w:rPr>
                <w:rFonts w:ascii="Arial" w:hAnsi="Arial" w:cs="Arial"/>
                <w:sz w:val="22"/>
                <w:szCs w:val="22"/>
              </w:rPr>
              <w:t xml:space="preserve"> assumed at $1,587 for 2023 and 2024</w:t>
            </w:r>
          </w:p>
        </w:tc>
      </w:tr>
    </w:tbl>
    <w:p w14:paraId="6441FF93" w14:textId="67C7B0E0" w:rsidR="008A5CF4" w:rsidRDefault="008A5CF4" w:rsidP="008A5CF4">
      <w:pPr>
        <w:spacing w:line="264" w:lineRule="auto"/>
        <w:contextualSpacing/>
        <w:rPr>
          <w:rFonts w:ascii="Arial" w:hAnsi="Arial" w:cs="Arial"/>
          <w:b/>
          <w:szCs w:val="24"/>
          <w:u w:val="single"/>
        </w:rPr>
      </w:pPr>
    </w:p>
    <w:p w14:paraId="1D636251" w14:textId="281C4BB0" w:rsidR="00434918" w:rsidRPr="00502C56" w:rsidRDefault="00434918" w:rsidP="00434918">
      <w:pPr>
        <w:spacing w:after="120" w:line="264" w:lineRule="auto"/>
        <w:jc w:val="center"/>
        <w:rPr>
          <w:rFonts w:ascii="Arial Bold" w:hAnsi="Arial Bold" w:cs="Arial"/>
          <w:b/>
          <w:szCs w:val="24"/>
        </w:rPr>
      </w:pPr>
      <w:r w:rsidRPr="00502C56">
        <w:rPr>
          <w:rFonts w:ascii="Arial Bold" w:hAnsi="Arial Bold" w:cs="Arial"/>
          <w:b/>
          <w:szCs w:val="24"/>
        </w:rPr>
        <w:t>Transit Infrastructure Capital Fund (3641)</w:t>
      </w:r>
    </w:p>
    <w:tbl>
      <w:tblPr>
        <w:tblStyle w:val="TableGrid"/>
        <w:tblW w:w="8257" w:type="dxa"/>
        <w:jc w:val="center"/>
        <w:tblCellMar>
          <w:left w:w="72" w:type="dxa"/>
          <w:right w:w="72" w:type="dxa"/>
        </w:tblCellMar>
        <w:tblLook w:val="04A0" w:firstRow="1" w:lastRow="0" w:firstColumn="1" w:lastColumn="0" w:noHBand="0" w:noVBand="1"/>
      </w:tblPr>
      <w:tblGrid>
        <w:gridCol w:w="2959"/>
        <w:gridCol w:w="180"/>
        <w:gridCol w:w="1516"/>
        <w:gridCol w:w="164"/>
        <w:gridCol w:w="1637"/>
        <w:gridCol w:w="164"/>
        <w:gridCol w:w="1637"/>
      </w:tblGrid>
      <w:tr w:rsidR="002F1D50" w:rsidRPr="00502C56" w14:paraId="404DB8F3" w14:textId="77777777" w:rsidTr="00227787">
        <w:trPr>
          <w:cantSplit/>
          <w:trHeight w:val="411"/>
          <w:tblHeader/>
          <w:jc w:val="center"/>
        </w:trPr>
        <w:tc>
          <w:tcPr>
            <w:tcW w:w="2959" w:type="dxa"/>
            <w:tcBorders>
              <w:top w:val="single" w:sz="12" w:space="0" w:color="auto"/>
              <w:left w:val="nil"/>
              <w:bottom w:val="single" w:sz="4" w:space="0" w:color="auto"/>
              <w:right w:val="nil"/>
            </w:tcBorders>
            <w:shd w:val="clear" w:color="auto" w:fill="auto"/>
            <w:vAlign w:val="center"/>
          </w:tcPr>
          <w:p w14:paraId="08BF8210" w14:textId="77777777" w:rsidR="00B868C1" w:rsidRPr="00502C56" w:rsidRDefault="00B868C1" w:rsidP="00B868C1">
            <w:pPr>
              <w:rPr>
                <w:rFonts w:ascii="Arial" w:hAnsi="Arial" w:cs="Arial"/>
                <w:b/>
                <w:sz w:val="22"/>
                <w:szCs w:val="22"/>
              </w:rPr>
            </w:pPr>
          </w:p>
        </w:tc>
        <w:tc>
          <w:tcPr>
            <w:tcW w:w="180" w:type="dxa"/>
            <w:tcBorders>
              <w:top w:val="single" w:sz="12" w:space="0" w:color="auto"/>
              <w:left w:val="nil"/>
              <w:bottom w:val="nil"/>
              <w:right w:val="nil"/>
            </w:tcBorders>
          </w:tcPr>
          <w:p w14:paraId="35ED61FA" w14:textId="77777777" w:rsidR="00B868C1" w:rsidRPr="00502C56" w:rsidRDefault="00B868C1" w:rsidP="00B868C1">
            <w:pPr>
              <w:rPr>
                <w:rFonts w:ascii="Arial" w:hAnsi="Arial" w:cs="Arial"/>
                <w:b/>
                <w:sz w:val="22"/>
                <w:szCs w:val="22"/>
              </w:rPr>
            </w:pPr>
          </w:p>
        </w:tc>
        <w:tc>
          <w:tcPr>
            <w:tcW w:w="1516" w:type="dxa"/>
            <w:tcBorders>
              <w:top w:val="single" w:sz="12" w:space="0" w:color="auto"/>
              <w:left w:val="nil"/>
              <w:bottom w:val="nil"/>
              <w:right w:val="nil"/>
            </w:tcBorders>
            <w:vAlign w:val="center"/>
          </w:tcPr>
          <w:p w14:paraId="6ED47634" w14:textId="6F4CC383" w:rsidR="00B868C1" w:rsidRPr="00502C56" w:rsidRDefault="00B868C1" w:rsidP="00B868C1">
            <w:pPr>
              <w:jc w:val="center"/>
              <w:rPr>
                <w:rFonts w:ascii="Arial" w:hAnsi="Arial" w:cs="Arial"/>
                <w:b/>
                <w:sz w:val="22"/>
                <w:szCs w:val="22"/>
              </w:rPr>
            </w:pPr>
            <w:r>
              <w:rPr>
                <w:rFonts w:ascii="Arial" w:hAnsi="Arial" w:cs="Arial"/>
                <w:b/>
                <w:sz w:val="22"/>
                <w:szCs w:val="22"/>
              </w:rPr>
              <w:t>2023-2024 Proposed</w:t>
            </w:r>
          </w:p>
        </w:tc>
        <w:tc>
          <w:tcPr>
            <w:tcW w:w="164" w:type="dxa"/>
            <w:tcBorders>
              <w:top w:val="single" w:sz="12" w:space="0" w:color="auto"/>
              <w:left w:val="nil"/>
              <w:bottom w:val="nil"/>
              <w:right w:val="nil"/>
            </w:tcBorders>
          </w:tcPr>
          <w:p w14:paraId="67C7A68B" w14:textId="77777777" w:rsidR="00B868C1" w:rsidRPr="00502C56" w:rsidRDefault="00B868C1" w:rsidP="00B868C1">
            <w:pPr>
              <w:rPr>
                <w:rFonts w:ascii="Arial" w:hAnsi="Arial" w:cs="Arial"/>
                <w:b/>
                <w:sz w:val="22"/>
                <w:szCs w:val="22"/>
              </w:rPr>
            </w:pPr>
          </w:p>
        </w:tc>
        <w:tc>
          <w:tcPr>
            <w:tcW w:w="1637" w:type="dxa"/>
            <w:tcBorders>
              <w:top w:val="single" w:sz="12" w:space="0" w:color="auto"/>
              <w:left w:val="nil"/>
              <w:bottom w:val="single" w:sz="2" w:space="0" w:color="auto"/>
              <w:right w:val="nil"/>
            </w:tcBorders>
            <w:shd w:val="clear" w:color="auto" w:fill="auto"/>
            <w:vAlign w:val="center"/>
          </w:tcPr>
          <w:p w14:paraId="714D13DC" w14:textId="58C085BB" w:rsidR="00B868C1" w:rsidRPr="00502C56" w:rsidRDefault="00B868C1" w:rsidP="00B868C1">
            <w:pPr>
              <w:jc w:val="center"/>
              <w:rPr>
                <w:rFonts w:ascii="Arial" w:hAnsi="Arial" w:cs="Arial"/>
                <w:b/>
                <w:sz w:val="22"/>
                <w:szCs w:val="22"/>
              </w:rPr>
            </w:pPr>
            <w:r>
              <w:rPr>
                <w:rFonts w:ascii="Arial" w:hAnsi="Arial" w:cs="Arial"/>
                <w:b/>
                <w:sz w:val="22"/>
                <w:szCs w:val="22"/>
              </w:rPr>
              <w:t>2025-2026 Projected</w:t>
            </w:r>
          </w:p>
        </w:tc>
        <w:tc>
          <w:tcPr>
            <w:tcW w:w="164" w:type="dxa"/>
            <w:tcBorders>
              <w:top w:val="single" w:sz="12" w:space="0" w:color="auto"/>
              <w:left w:val="nil"/>
              <w:bottom w:val="nil"/>
              <w:right w:val="nil"/>
            </w:tcBorders>
          </w:tcPr>
          <w:p w14:paraId="34FFD84F" w14:textId="77777777" w:rsidR="00B868C1" w:rsidRPr="00502C56" w:rsidRDefault="00B868C1" w:rsidP="00B868C1">
            <w:pPr>
              <w:rPr>
                <w:rFonts w:ascii="Arial" w:hAnsi="Arial" w:cs="Arial"/>
                <w:b/>
                <w:sz w:val="22"/>
                <w:szCs w:val="22"/>
              </w:rPr>
            </w:pPr>
          </w:p>
        </w:tc>
        <w:tc>
          <w:tcPr>
            <w:tcW w:w="1637" w:type="dxa"/>
            <w:tcBorders>
              <w:top w:val="single" w:sz="12" w:space="0" w:color="auto"/>
              <w:left w:val="nil"/>
              <w:bottom w:val="single" w:sz="2" w:space="0" w:color="auto"/>
              <w:right w:val="nil"/>
            </w:tcBorders>
            <w:vAlign w:val="center"/>
          </w:tcPr>
          <w:p w14:paraId="561A0C11" w14:textId="1AF4B9E0" w:rsidR="00B868C1" w:rsidRPr="00502C56" w:rsidRDefault="00B868C1" w:rsidP="00B868C1">
            <w:pPr>
              <w:jc w:val="center"/>
              <w:rPr>
                <w:rFonts w:ascii="Arial" w:hAnsi="Arial" w:cs="Arial"/>
                <w:b/>
                <w:sz w:val="22"/>
                <w:szCs w:val="22"/>
              </w:rPr>
            </w:pPr>
            <w:r>
              <w:rPr>
                <w:rFonts w:ascii="Arial" w:hAnsi="Arial" w:cs="Arial"/>
                <w:b/>
                <w:sz w:val="22"/>
                <w:szCs w:val="22"/>
              </w:rPr>
              <w:t>2027-2028 Projected</w:t>
            </w:r>
          </w:p>
        </w:tc>
      </w:tr>
      <w:tr w:rsidR="002F1D50" w:rsidRPr="00502C56" w14:paraId="6982F198" w14:textId="77777777" w:rsidTr="00227787">
        <w:trPr>
          <w:cantSplit/>
          <w:jc w:val="center"/>
        </w:trPr>
        <w:tc>
          <w:tcPr>
            <w:tcW w:w="2959" w:type="dxa"/>
            <w:tcBorders>
              <w:left w:val="nil"/>
              <w:bottom w:val="nil"/>
              <w:right w:val="nil"/>
            </w:tcBorders>
            <w:tcMar>
              <w:top w:w="72" w:type="dxa"/>
              <w:left w:w="115" w:type="dxa"/>
              <w:bottom w:w="72" w:type="dxa"/>
              <w:right w:w="115" w:type="dxa"/>
            </w:tcMar>
          </w:tcPr>
          <w:p w14:paraId="00BD14C7" w14:textId="77777777" w:rsidR="00434918" w:rsidRPr="00502C56" w:rsidRDefault="00434918" w:rsidP="00227787">
            <w:pPr>
              <w:rPr>
                <w:rFonts w:ascii="Arial" w:hAnsi="Arial" w:cs="Arial"/>
                <w:b/>
                <w:sz w:val="22"/>
                <w:szCs w:val="22"/>
              </w:rPr>
            </w:pPr>
            <w:r w:rsidRPr="00502C56">
              <w:rPr>
                <w:rFonts w:ascii="Arial" w:hAnsi="Arial" w:cs="Arial"/>
                <w:b/>
                <w:sz w:val="22"/>
                <w:szCs w:val="22"/>
              </w:rPr>
              <w:t>Revenues</w:t>
            </w:r>
          </w:p>
        </w:tc>
        <w:tc>
          <w:tcPr>
            <w:tcW w:w="180" w:type="dxa"/>
            <w:tcBorders>
              <w:top w:val="nil"/>
              <w:left w:val="nil"/>
              <w:bottom w:val="nil"/>
              <w:right w:val="nil"/>
            </w:tcBorders>
          </w:tcPr>
          <w:p w14:paraId="70D2C93E" w14:textId="77777777" w:rsidR="00434918" w:rsidRPr="00502C56" w:rsidRDefault="00434918" w:rsidP="00227787">
            <w:pPr>
              <w:jc w:val="right"/>
              <w:rPr>
                <w:rFonts w:ascii="Arial" w:hAnsi="Arial" w:cs="Arial"/>
                <w:sz w:val="22"/>
                <w:szCs w:val="22"/>
              </w:rPr>
            </w:pPr>
          </w:p>
        </w:tc>
        <w:tc>
          <w:tcPr>
            <w:tcW w:w="1516" w:type="dxa"/>
            <w:tcBorders>
              <w:left w:val="nil"/>
              <w:bottom w:val="nil"/>
              <w:right w:val="nil"/>
            </w:tcBorders>
          </w:tcPr>
          <w:p w14:paraId="617F3D25" w14:textId="4DCC4E43" w:rsidR="00434918" w:rsidRPr="002F1D50" w:rsidRDefault="00434918" w:rsidP="00227787">
            <w:pPr>
              <w:jc w:val="right"/>
              <w:rPr>
                <w:rFonts w:ascii="Arial" w:hAnsi="Arial" w:cs="Arial"/>
                <w:sz w:val="22"/>
                <w:szCs w:val="22"/>
              </w:rPr>
            </w:pPr>
            <w:r w:rsidRPr="002F1D50">
              <w:rPr>
                <w:rFonts w:ascii="Arial" w:hAnsi="Arial" w:cs="Arial"/>
                <w:sz w:val="22"/>
                <w:szCs w:val="22"/>
              </w:rPr>
              <w:t>$</w:t>
            </w:r>
            <w:r w:rsidR="00003D83" w:rsidRPr="002F1D50">
              <w:rPr>
                <w:rFonts w:ascii="Arial" w:hAnsi="Arial" w:cs="Arial"/>
                <w:sz w:val="22"/>
                <w:szCs w:val="22"/>
              </w:rPr>
              <w:t>369,</w:t>
            </w:r>
            <w:r w:rsidR="002F1D50" w:rsidRPr="002F1D50">
              <w:rPr>
                <w:rFonts w:ascii="Arial" w:hAnsi="Arial" w:cs="Arial"/>
                <w:sz w:val="22"/>
                <w:szCs w:val="22"/>
              </w:rPr>
              <w:t>069,555</w:t>
            </w:r>
          </w:p>
        </w:tc>
        <w:tc>
          <w:tcPr>
            <w:tcW w:w="164" w:type="dxa"/>
            <w:tcBorders>
              <w:top w:val="nil"/>
              <w:left w:val="nil"/>
              <w:bottom w:val="nil"/>
              <w:right w:val="nil"/>
            </w:tcBorders>
          </w:tcPr>
          <w:p w14:paraId="69598FED" w14:textId="77777777" w:rsidR="00434918" w:rsidRPr="00434918" w:rsidRDefault="00434918" w:rsidP="00227787">
            <w:pPr>
              <w:jc w:val="right"/>
              <w:rPr>
                <w:rFonts w:ascii="Arial" w:hAnsi="Arial" w:cs="Arial"/>
                <w:sz w:val="22"/>
                <w:szCs w:val="22"/>
                <w:highlight w:val="yellow"/>
              </w:rPr>
            </w:pPr>
          </w:p>
        </w:tc>
        <w:tc>
          <w:tcPr>
            <w:tcW w:w="1637" w:type="dxa"/>
            <w:tcBorders>
              <w:top w:val="single" w:sz="2" w:space="0" w:color="auto"/>
              <w:left w:val="nil"/>
              <w:bottom w:val="nil"/>
              <w:right w:val="nil"/>
            </w:tcBorders>
            <w:tcMar>
              <w:top w:w="72" w:type="dxa"/>
              <w:bottom w:w="72" w:type="dxa"/>
            </w:tcMar>
          </w:tcPr>
          <w:p w14:paraId="2BF36EFC" w14:textId="122ABC26" w:rsidR="00434918" w:rsidRPr="00434918" w:rsidRDefault="00434918" w:rsidP="00227787">
            <w:pPr>
              <w:jc w:val="right"/>
              <w:rPr>
                <w:rFonts w:ascii="Arial" w:hAnsi="Arial" w:cs="Arial"/>
                <w:sz w:val="22"/>
                <w:szCs w:val="22"/>
                <w:highlight w:val="yellow"/>
              </w:rPr>
            </w:pPr>
            <w:r w:rsidRPr="002F1D50">
              <w:rPr>
                <w:rFonts w:ascii="Arial" w:hAnsi="Arial" w:cs="Arial"/>
                <w:sz w:val="22"/>
                <w:szCs w:val="22"/>
              </w:rPr>
              <w:t>$</w:t>
            </w:r>
            <w:r w:rsidR="002F1D50" w:rsidRPr="002F1D50">
              <w:rPr>
                <w:rFonts w:ascii="Arial" w:hAnsi="Arial" w:cs="Arial"/>
                <w:sz w:val="22"/>
                <w:szCs w:val="22"/>
              </w:rPr>
              <w:t>508,742,494</w:t>
            </w:r>
          </w:p>
        </w:tc>
        <w:tc>
          <w:tcPr>
            <w:tcW w:w="164" w:type="dxa"/>
            <w:tcBorders>
              <w:top w:val="nil"/>
              <w:left w:val="nil"/>
              <w:bottom w:val="nil"/>
              <w:right w:val="nil"/>
            </w:tcBorders>
          </w:tcPr>
          <w:p w14:paraId="34F58500" w14:textId="77777777" w:rsidR="00434918" w:rsidRPr="00434918" w:rsidRDefault="00434918" w:rsidP="00227787">
            <w:pPr>
              <w:jc w:val="right"/>
              <w:rPr>
                <w:rFonts w:ascii="Arial" w:hAnsi="Arial" w:cs="Arial"/>
                <w:sz w:val="22"/>
                <w:szCs w:val="22"/>
                <w:highlight w:val="yellow"/>
              </w:rPr>
            </w:pPr>
          </w:p>
        </w:tc>
        <w:tc>
          <w:tcPr>
            <w:tcW w:w="1637" w:type="dxa"/>
            <w:tcBorders>
              <w:top w:val="single" w:sz="2" w:space="0" w:color="auto"/>
              <w:left w:val="nil"/>
              <w:bottom w:val="nil"/>
              <w:right w:val="nil"/>
            </w:tcBorders>
            <w:tcMar>
              <w:top w:w="72" w:type="dxa"/>
              <w:bottom w:w="72" w:type="dxa"/>
            </w:tcMar>
          </w:tcPr>
          <w:p w14:paraId="49FC2778" w14:textId="320C223F" w:rsidR="00434918" w:rsidRPr="00434918" w:rsidRDefault="00434918" w:rsidP="00227787">
            <w:pPr>
              <w:jc w:val="right"/>
              <w:rPr>
                <w:rFonts w:ascii="Arial" w:hAnsi="Arial" w:cs="Arial"/>
                <w:sz w:val="22"/>
                <w:szCs w:val="22"/>
                <w:highlight w:val="yellow"/>
              </w:rPr>
            </w:pPr>
            <w:r w:rsidRPr="00467A65">
              <w:rPr>
                <w:rFonts w:ascii="Arial" w:hAnsi="Arial" w:cs="Arial"/>
                <w:sz w:val="22"/>
                <w:szCs w:val="22"/>
              </w:rPr>
              <w:t>$</w:t>
            </w:r>
            <w:r w:rsidR="00467A65" w:rsidRPr="00467A65">
              <w:rPr>
                <w:rFonts w:ascii="Arial" w:hAnsi="Arial" w:cs="Arial"/>
                <w:sz w:val="22"/>
                <w:szCs w:val="22"/>
              </w:rPr>
              <w:t>696,185,193</w:t>
            </w:r>
          </w:p>
        </w:tc>
      </w:tr>
      <w:tr w:rsidR="002F1D50" w:rsidRPr="00502C56" w14:paraId="1188F644" w14:textId="77777777" w:rsidTr="00227787">
        <w:trPr>
          <w:cantSplit/>
          <w:trHeight w:val="216"/>
          <w:jc w:val="center"/>
        </w:trPr>
        <w:tc>
          <w:tcPr>
            <w:tcW w:w="2959" w:type="dxa"/>
            <w:tcBorders>
              <w:top w:val="nil"/>
              <w:left w:val="nil"/>
              <w:bottom w:val="dotted" w:sz="4" w:space="0" w:color="auto"/>
              <w:right w:val="nil"/>
            </w:tcBorders>
            <w:tcMar>
              <w:top w:w="72" w:type="dxa"/>
              <w:left w:w="115" w:type="dxa"/>
              <w:bottom w:w="72" w:type="dxa"/>
              <w:right w:w="115" w:type="dxa"/>
            </w:tcMar>
          </w:tcPr>
          <w:p w14:paraId="5F7B4D9A" w14:textId="77777777" w:rsidR="00434918" w:rsidRPr="00502C56" w:rsidRDefault="00434918" w:rsidP="00227787">
            <w:pPr>
              <w:rPr>
                <w:rFonts w:ascii="Arial" w:hAnsi="Arial" w:cs="Arial"/>
                <w:b/>
                <w:sz w:val="22"/>
                <w:szCs w:val="22"/>
              </w:rPr>
            </w:pPr>
            <w:r w:rsidRPr="00502C56">
              <w:rPr>
                <w:rFonts w:ascii="Arial" w:hAnsi="Arial" w:cs="Arial"/>
                <w:b/>
                <w:sz w:val="22"/>
                <w:szCs w:val="22"/>
              </w:rPr>
              <w:t>Expenditures</w:t>
            </w:r>
          </w:p>
        </w:tc>
        <w:tc>
          <w:tcPr>
            <w:tcW w:w="180" w:type="dxa"/>
            <w:tcBorders>
              <w:top w:val="nil"/>
              <w:left w:val="nil"/>
              <w:bottom w:val="dotted" w:sz="4" w:space="0" w:color="auto"/>
              <w:right w:val="nil"/>
            </w:tcBorders>
          </w:tcPr>
          <w:p w14:paraId="185CF0AD" w14:textId="77777777" w:rsidR="00434918" w:rsidRPr="00502C56" w:rsidRDefault="00434918" w:rsidP="00227787">
            <w:pPr>
              <w:jc w:val="right"/>
              <w:rPr>
                <w:rFonts w:ascii="Arial" w:hAnsi="Arial" w:cs="Arial"/>
                <w:sz w:val="22"/>
                <w:szCs w:val="22"/>
              </w:rPr>
            </w:pPr>
          </w:p>
        </w:tc>
        <w:tc>
          <w:tcPr>
            <w:tcW w:w="1516" w:type="dxa"/>
            <w:tcBorders>
              <w:top w:val="nil"/>
              <w:left w:val="nil"/>
              <w:bottom w:val="dotted" w:sz="4" w:space="0" w:color="auto"/>
              <w:right w:val="nil"/>
            </w:tcBorders>
          </w:tcPr>
          <w:p w14:paraId="4089ED9F" w14:textId="3866C422" w:rsidR="00434918" w:rsidRPr="00434918" w:rsidRDefault="00434918" w:rsidP="00227787">
            <w:pPr>
              <w:jc w:val="right"/>
              <w:rPr>
                <w:rFonts w:ascii="Arial" w:hAnsi="Arial" w:cs="Arial"/>
                <w:sz w:val="22"/>
                <w:szCs w:val="22"/>
                <w:highlight w:val="yellow"/>
              </w:rPr>
            </w:pPr>
            <w:r w:rsidRPr="00276DEC">
              <w:rPr>
                <w:rFonts w:ascii="Arial" w:hAnsi="Arial" w:cs="Arial"/>
                <w:sz w:val="22"/>
                <w:szCs w:val="22"/>
              </w:rPr>
              <w:t>$</w:t>
            </w:r>
            <w:r w:rsidR="00276DEC" w:rsidRPr="00276DEC">
              <w:rPr>
                <w:rFonts w:ascii="Arial" w:hAnsi="Arial" w:cs="Arial"/>
                <w:sz w:val="22"/>
                <w:szCs w:val="22"/>
              </w:rPr>
              <w:t>369,069,555</w:t>
            </w:r>
          </w:p>
        </w:tc>
        <w:tc>
          <w:tcPr>
            <w:tcW w:w="164" w:type="dxa"/>
            <w:tcBorders>
              <w:top w:val="nil"/>
              <w:left w:val="nil"/>
              <w:bottom w:val="dotted" w:sz="4" w:space="0" w:color="auto"/>
              <w:right w:val="nil"/>
            </w:tcBorders>
          </w:tcPr>
          <w:p w14:paraId="066DBF43" w14:textId="77777777" w:rsidR="00434918" w:rsidRPr="00434918" w:rsidRDefault="00434918" w:rsidP="00227787">
            <w:pPr>
              <w:jc w:val="right"/>
              <w:rPr>
                <w:rFonts w:ascii="Arial" w:hAnsi="Arial" w:cs="Arial"/>
                <w:sz w:val="22"/>
                <w:szCs w:val="22"/>
                <w:highlight w:val="yellow"/>
              </w:rPr>
            </w:pPr>
          </w:p>
        </w:tc>
        <w:tc>
          <w:tcPr>
            <w:tcW w:w="1637" w:type="dxa"/>
            <w:tcBorders>
              <w:top w:val="nil"/>
              <w:left w:val="nil"/>
              <w:bottom w:val="dotted" w:sz="4" w:space="0" w:color="auto"/>
              <w:right w:val="nil"/>
            </w:tcBorders>
            <w:tcMar>
              <w:top w:w="72" w:type="dxa"/>
              <w:bottom w:w="72" w:type="dxa"/>
            </w:tcMar>
          </w:tcPr>
          <w:p w14:paraId="3B4F204B" w14:textId="2EB533E1" w:rsidR="00434918" w:rsidRPr="007908D8" w:rsidRDefault="00434918" w:rsidP="00227787">
            <w:pPr>
              <w:jc w:val="right"/>
              <w:rPr>
                <w:rFonts w:ascii="Arial" w:hAnsi="Arial" w:cs="Arial"/>
                <w:sz w:val="22"/>
                <w:szCs w:val="22"/>
              </w:rPr>
            </w:pPr>
            <w:r w:rsidRPr="007908D8">
              <w:rPr>
                <w:rFonts w:ascii="Arial" w:hAnsi="Arial" w:cs="Arial"/>
                <w:sz w:val="22"/>
                <w:szCs w:val="22"/>
              </w:rPr>
              <w:t>$</w:t>
            </w:r>
            <w:r w:rsidR="007908D8" w:rsidRPr="007908D8">
              <w:rPr>
                <w:rFonts w:ascii="Arial" w:hAnsi="Arial" w:cs="Arial"/>
                <w:sz w:val="22"/>
                <w:szCs w:val="22"/>
              </w:rPr>
              <w:t>508,742,494</w:t>
            </w:r>
          </w:p>
        </w:tc>
        <w:tc>
          <w:tcPr>
            <w:tcW w:w="164" w:type="dxa"/>
            <w:tcBorders>
              <w:top w:val="nil"/>
              <w:left w:val="nil"/>
              <w:bottom w:val="dotted" w:sz="4" w:space="0" w:color="auto"/>
              <w:right w:val="nil"/>
            </w:tcBorders>
          </w:tcPr>
          <w:p w14:paraId="6596A480" w14:textId="77777777" w:rsidR="00434918" w:rsidRPr="007908D8" w:rsidRDefault="00434918" w:rsidP="00227787">
            <w:pPr>
              <w:jc w:val="right"/>
              <w:rPr>
                <w:rFonts w:ascii="Arial" w:hAnsi="Arial" w:cs="Arial"/>
                <w:sz w:val="22"/>
                <w:szCs w:val="22"/>
              </w:rPr>
            </w:pPr>
          </w:p>
        </w:tc>
        <w:tc>
          <w:tcPr>
            <w:tcW w:w="1637" w:type="dxa"/>
            <w:tcBorders>
              <w:top w:val="nil"/>
              <w:left w:val="nil"/>
              <w:bottom w:val="dotted" w:sz="4" w:space="0" w:color="auto"/>
              <w:right w:val="nil"/>
            </w:tcBorders>
            <w:tcMar>
              <w:top w:w="72" w:type="dxa"/>
              <w:bottom w:w="72" w:type="dxa"/>
            </w:tcMar>
          </w:tcPr>
          <w:p w14:paraId="5F31B8BC" w14:textId="03E985A2" w:rsidR="00434918" w:rsidRPr="007908D8" w:rsidRDefault="00434918" w:rsidP="00227787">
            <w:pPr>
              <w:jc w:val="right"/>
              <w:rPr>
                <w:rFonts w:ascii="Arial" w:hAnsi="Arial" w:cs="Arial"/>
                <w:sz w:val="22"/>
                <w:szCs w:val="22"/>
              </w:rPr>
            </w:pPr>
            <w:r w:rsidRPr="007908D8">
              <w:rPr>
                <w:rFonts w:ascii="Arial" w:hAnsi="Arial" w:cs="Arial"/>
                <w:sz w:val="22"/>
                <w:szCs w:val="22"/>
              </w:rPr>
              <w:t>$</w:t>
            </w:r>
            <w:r w:rsidR="007908D8" w:rsidRPr="007908D8">
              <w:rPr>
                <w:rFonts w:ascii="Arial" w:hAnsi="Arial" w:cs="Arial"/>
                <w:sz w:val="22"/>
                <w:szCs w:val="22"/>
              </w:rPr>
              <w:t>696,185,193</w:t>
            </w:r>
          </w:p>
        </w:tc>
      </w:tr>
      <w:tr w:rsidR="00434918" w:rsidRPr="00502C56" w14:paraId="45F8FE26" w14:textId="77777777" w:rsidTr="00227787">
        <w:trPr>
          <w:cantSplit/>
          <w:trHeight w:val="485"/>
          <w:jc w:val="center"/>
        </w:trPr>
        <w:tc>
          <w:tcPr>
            <w:tcW w:w="8257" w:type="dxa"/>
            <w:gridSpan w:val="7"/>
            <w:tcBorders>
              <w:top w:val="dotted" w:sz="4" w:space="0" w:color="auto"/>
              <w:left w:val="nil"/>
              <w:bottom w:val="single" w:sz="12" w:space="0" w:color="auto"/>
              <w:right w:val="single" w:sz="2" w:space="0" w:color="FFFFFF" w:themeColor="background1"/>
            </w:tcBorders>
            <w:tcMar>
              <w:top w:w="72" w:type="dxa"/>
              <w:left w:w="115" w:type="dxa"/>
              <w:bottom w:w="72" w:type="dxa"/>
              <w:right w:w="115" w:type="dxa"/>
            </w:tcMar>
            <w:vAlign w:val="center"/>
          </w:tcPr>
          <w:p w14:paraId="4E5C4CBE" w14:textId="77777777" w:rsidR="00434918" w:rsidRPr="00502C56" w:rsidRDefault="00434918" w:rsidP="00227787">
            <w:pPr>
              <w:rPr>
                <w:rFonts w:ascii="Arial" w:hAnsi="Arial" w:cs="Arial"/>
                <w:sz w:val="22"/>
                <w:szCs w:val="22"/>
              </w:rPr>
            </w:pPr>
            <w:r w:rsidRPr="00502C56">
              <w:rPr>
                <w:rFonts w:ascii="Arial" w:hAnsi="Arial" w:cs="Arial"/>
                <w:b/>
                <w:sz w:val="22"/>
                <w:szCs w:val="22"/>
              </w:rPr>
              <w:t>Major Revenue Sources:</w:t>
            </w:r>
            <w:r w:rsidRPr="00502C56">
              <w:rPr>
                <w:rFonts w:ascii="Arial" w:hAnsi="Arial" w:cs="Arial"/>
                <w:sz w:val="22"/>
                <w:szCs w:val="22"/>
              </w:rPr>
              <w:t xml:space="preserve"> Sales tax, Marine property tax, Sound Transit payment, grants, interest income, debt proceeds</w:t>
            </w:r>
          </w:p>
        </w:tc>
      </w:tr>
    </w:tbl>
    <w:p w14:paraId="7C3ACB92" w14:textId="77777777" w:rsidR="00434918" w:rsidRPr="00502C56" w:rsidRDefault="00434918" w:rsidP="00434918">
      <w:pPr>
        <w:spacing w:line="264" w:lineRule="auto"/>
        <w:contextualSpacing/>
        <w:rPr>
          <w:rFonts w:ascii="Arial" w:hAnsi="Arial" w:cs="Arial"/>
          <w:b/>
          <w:smallCaps/>
          <w:szCs w:val="24"/>
          <w:u w:val="single"/>
        </w:rPr>
      </w:pPr>
    </w:p>
    <w:p w14:paraId="76A0A316" w14:textId="77777777" w:rsidR="00434918" w:rsidRPr="00502C56" w:rsidRDefault="00434918" w:rsidP="00434918">
      <w:pPr>
        <w:spacing w:after="120" w:line="264" w:lineRule="auto"/>
        <w:jc w:val="center"/>
        <w:rPr>
          <w:rFonts w:ascii="Arial Bold" w:hAnsi="Arial Bold" w:cs="Arial"/>
          <w:b/>
          <w:szCs w:val="24"/>
        </w:rPr>
      </w:pPr>
      <w:r w:rsidRPr="00502C56">
        <w:rPr>
          <w:rFonts w:ascii="Arial Bold" w:hAnsi="Arial Bold" w:cs="Arial"/>
          <w:b/>
          <w:szCs w:val="24"/>
        </w:rPr>
        <w:t>Transit Fleet Capital Fund (3642)</w:t>
      </w:r>
    </w:p>
    <w:tbl>
      <w:tblPr>
        <w:tblStyle w:val="TableGrid"/>
        <w:tblW w:w="8257" w:type="dxa"/>
        <w:jc w:val="center"/>
        <w:tblCellMar>
          <w:left w:w="72" w:type="dxa"/>
          <w:right w:w="72" w:type="dxa"/>
        </w:tblCellMar>
        <w:tblLook w:val="04A0" w:firstRow="1" w:lastRow="0" w:firstColumn="1" w:lastColumn="0" w:noHBand="0" w:noVBand="1"/>
      </w:tblPr>
      <w:tblGrid>
        <w:gridCol w:w="2813"/>
        <w:gridCol w:w="177"/>
        <w:gridCol w:w="1715"/>
        <w:gridCol w:w="162"/>
        <w:gridCol w:w="1607"/>
        <w:gridCol w:w="162"/>
        <w:gridCol w:w="1621"/>
      </w:tblGrid>
      <w:tr w:rsidR="00B75715" w:rsidRPr="00502C56" w14:paraId="084D3899" w14:textId="77777777" w:rsidTr="00B868C1">
        <w:trPr>
          <w:cantSplit/>
          <w:trHeight w:val="411"/>
          <w:tblHeader/>
          <w:jc w:val="center"/>
        </w:trPr>
        <w:tc>
          <w:tcPr>
            <w:tcW w:w="2813" w:type="dxa"/>
            <w:tcBorders>
              <w:top w:val="single" w:sz="12" w:space="0" w:color="auto"/>
              <w:left w:val="nil"/>
              <w:bottom w:val="single" w:sz="4" w:space="0" w:color="auto"/>
              <w:right w:val="nil"/>
            </w:tcBorders>
            <w:shd w:val="clear" w:color="auto" w:fill="auto"/>
            <w:vAlign w:val="center"/>
          </w:tcPr>
          <w:p w14:paraId="0B9D775C" w14:textId="77777777" w:rsidR="00B868C1" w:rsidRPr="00502C56" w:rsidRDefault="00B868C1" w:rsidP="00B868C1">
            <w:pPr>
              <w:rPr>
                <w:rFonts w:ascii="Arial" w:hAnsi="Arial" w:cs="Arial"/>
                <w:b/>
                <w:sz w:val="22"/>
                <w:szCs w:val="22"/>
              </w:rPr>
            </w:pPr>
          </w:p>
        </w:tc>
        <w:tc>
          <w:tcPr>
            <w:tcW w:w="177" w:type="dxa"/>
            <w:tcBorders>
              <w:top w:val="single" w:sz="12" w:space="0" w:color="auto"/>
              <w:left w:val="nil"/>
              <w:bottom w:val="nil"/>
              <w:right w:val="nil"/>
            </w:tcBorders>
          </w:tcPr>
          <w:p w14:paraId="32F8BB58" w14:textId="77777777" w:rsidR="00B868C1" w:rsidRPr="00502C56" w:rsidRDefault="00B868C1" w:rsidP="00B868C1">
            <w:pPr>
              <w:rPr>
                <w:rFonts w:ascii="Arial" w:hAnsi="Arial" w:cs="Arial"/>
                <w:b/>
                <w:sz w:val="22"/>
                <w:szCs w:val="22"/>
              </w:rPr>
            </w:pPr>
          </w:p>
        </w:tc>
        <w:tc>
          <w:tcPr>
            <w:tcW w:w="1715" w:type="dxa"/>
            <w:tcBorders>
              <w:top w:val="single" w:sz="12" w:space="0" w:color="auto"/>
              <w:left w:val="nil"/>
              <w:bottom w:val="nil"/>
              <w:right w:val="nil"/>
            </w:tcBorders>
            <w:vAlign w:val="center"/>
          </w:tcPr>
          <w:p w14:paraId="0B37FE48" w14:textId="2F526FDB" w:rsidR="00B868C1" w:rsidRPr="00502C56" w:rsidRDefault="00B868C1" w:rsidP="00B868C1">
            <w:pPr>
              <w:jc w:val="center"/>
              <w:rPr>
                <w:rFonts w:ascii="Arial" w:hAnsi="Arial" w:cs="Arial"/>
                <w:b/>
                <w:sz w:val="22"/>
                <w:szCs w:val="22"/>
              </w:rPr>
            </w:pPr>
            <w:r>
              <w:rPr>
                <w:rFonts w:ascii="Arial" w:hAnsi="Arial" w:cs="Arial"/>
                <w:b/>
                <w:sz w:val="22"/>
                <w:szCs w:val="22"/>
              </w:rPr>
              <w:t>2023-2024 Proposed</w:t>
            </w:r>
          </w:p>
        </w:tc>
        <w:tc>
          <w:tcPr>
            <w:tcW w:w="162" w:type="dxa"/>
            <w:tcBorders>
              <w:top w:val="single" w:sz="12" w:space="0" w:color="auto"/>
              <w:left w:val="nil"/>
              <w:bottom w:val="nil"/>
              <w:right w:val="nil"/>
            </w:tcBorders>
          </w:tcPr>
          <w:p w14:paraId="7E22C56D" w14:textId="77777777" w:rsidR="00B868C1" w:rsidRPr="00502C56" w:rsidRDefault="00B868C1" w:rsidP="00B868C1">
            <w:pPr>
              <w:rPr>
                <w:rFonts w:ascii="Arial" w:hAnsi="Arial" w:cs="Arial"/>
                <w:b/>
                <w:sz w:val="22"/>
                <w:szCs w:val="22"/>
              </w:rPr>
            </w:pPr>
          </w:p>
        </w:tc>
        <w:tc>
          <w:tcPr>
            <w:tcW w:w="1607" w:type="dxa"/>
            <w:tcBorders>
              <w:top w:val="single" w:sz="12" w:space="0" w:color="auto"/>
              <w:left w:val="nil"/>
              <w:bottom w:val="single" w:sz="2" w:space="0" w:color="auto"/>
              <w:right w:val="nil"/>
            </w:tcBorders>
            <w:shd w:val="clear" w:color="auto" w:fill="auto"/>
            <w:vAlign w:val="center"/>
          </w:tcPr>
          <w:p w14:paraId="16FCEC6C" w14:textId="1540320F" w:rsidR="00B868C1" w:rsidRPr="00502C56" w:rsidRDefault="00B868C1" w:rsidP="00B868C1">
            <w:pPr>
              <w:jc w:val="center"/>
              <w:rPr>
                <w:rFonts w:ascii="Arial" w:hAnsi="Arial" w:cs="Arial"/>
                <w:b/>
                <w:sz w:val="22"/>
                <w:szCs w:val="22"/>
              </w:rPr>
            </w:pPr>
            <w:r>
              <w:rPr>
                <w:rFonts w:ascii="Arial" w:hAnsi="Arial" w:cs="Arial"/>
                <w:b/>
                <w:sz w:val="22"/>
                <w:szCs w:val="22"/>
              </w:rPr>
              <w:t>2025-2026 Projected</w:t>
            </w:r>
          </w:p>
        </w:tc>
        <w:tc>
          <w:tcPr>
            <w:tcW w:w="162" w:type="dxa"/>
            <w:tcBorders>
              <w:top w:val="single" w:sz="12" w:space="0" w:color="auto"/>
              <w:left w:val="nil"/>
              <w:bottom w:val="nil"/>
              <w:right w:val="nil"/>
            </w:tcBorders>
          </w:tcPr>
          <w:p w14:paraId="0006AE99" w14:textId="77777777" w:rsidR="00B868C1" w:rsidRPr="00502C56" w:rsidRDefault="00B868C1" w:rsidP="00B868C1">
            <w:pPr>
              <w:rPr>
                <w:rFonts w:ascii="Arial" w:hAnsi="Arial" w:cs="Arial"/>
                <w:b/>
                <w:sz w:val="22"/>
                <w:szCs w:val="22"/>
              </w:rPr>
            </w:pPr>
          </w:p>
        </w:tc>
        <w:tc>
          <w:tcPr>
            <w:tcW w:w="1621" w:type="dxa"/>
            <w:tcBorders>
              <w:top w:val="single" w:sz="12" w:space="0" w:color="auto"/>
              <w:left w:val="nil"/>
              <w:bottom w:val="single" w:sz="2" w:space="0" w:color="auto"/>
              <w:right w:val="nil"/>
            </w:tcBorders>
            <w:vAlign w:val="center"/>
          </w:tcPr>
          <w:p w14:paraId="1B64E260" w14:textId="0C0EE86D" w:rsidR="00B868C1" w:rsidRPr="00502C56" w:rsidRDefault="00B868C1" w:rsidP="00B868C1">
            <w:pPr>
              <w:jc w:val="center"/>
              <w:rPr>
                <w:rFonts w:ascii="Arial" w:hAnsi="Arial" w:cs="Arial"/>
                <w:b/>
                <w:sz w:val="22"/>
                <w:szCs w:val="22"/>
              </w:rPr>
            </w:pPr>
            <w:r>
              <w:rPr>
                <w:rFonts w:ascii="Arial" w:hAnsi="Arial" w:cs="Arial"/>
                <w:b/>
                <w:sz w:val="22"/>
                <w:szCs w:val="22"/>
              </w:rPr>
              <w:t>2027-2028 Projected</w:t>
            </w:r>
          </w:p>
        </w:tc>
      </w:tr>
      <w:tr w:rsidR="00B75715" w:rsidRPr="00502C56" w14:paraId="51BBCACB" w14:textId="77777777" w:rsidTr="00B868C1">
        <w:trPr>
          <w:cantSplit/>
          <w:jc w:val="center"/>
        </w:trPr>
        <w:tc>
          <w:tcPr>
            <w:tcW w:w="2813" w:type="dxa"/>
            <w:tcBorders>
              <w:left w:val="nil"/>
              <w:bottom w:val="nil"/>
              <w:right w:val="nil"/>
            </w:tcBorders>
            <w:tcMar>
              <w:top w:w="72" w:type="dxa"/>
              <w:left w:w="115" w:type="dxa"/>
              <w:bottom w:w="72" w:type="dxa"/>
              <w:right w:w="115" w:type="dxa"/>
            </w:tcMar>
          </w:tcPr>
          <w:p w14:paraId="1580FDC8" w14:textId="77777777" w:rsidR="00434918" w:rsidRPr="00502C56" w:rsidRDefault="00434918" w:rsidP="00227787">
            <w:pPr>
              <w:rPr>
                <w:rFonts w:ascii="Arial" w:hAnsi="Arial" w:cs="Arial"/>
                <w:b/>
                <w:sz w:val="22"/>
                <w:szCs w:val="22"/>
              </w:rPr>
            </w:pPr>
            <w:r w:rsidRPr="00502C56">
              <w:rPr>
                <w:rFonts w:ascii="Arial" w:hAnsi="Arial" w:cs="Arial"/>
                <w:b/>
                <w:sz w:val="22"/>
                <w:szCs w:val="22"/>
              </w:rPr>
              <w:t>Revenues</w:t>
            </w:r>
          </w:p>
        </w:tc>
        <w:tc>
          <w:tcPr>
            <w:tcW w:w="177" w:type="dxa"/>
            <w:tcBorders>
              <w:top w:val="nil"/>
              <w:left w:val="nil"/>
              <w:bottom w:val="nil"/>
              <w:right w:val="nil"/>
            </w:tcBorders>
          </w:tcPr>
          <w:p w14:paraId="10949DFA" w14:textId="77777777" w:rsidR="00434918" w:rsidRPr="00502C56" w:rsidRDefault="00434918" w:rsidP="00227787">
            <w:pPr>
              <w:jc w:val="right"/>
              <w:rPr>
                <w:rFonts w:ascii="Arial" w:hAnsi="Arial" w:cs="Arial"/>
                <w:sz w:val="22"/>
                <w:szCs w:val="22"/>
              </w:rPr>
            </w:pPr>
          </w:p>
        </w:tc>
        <w:tc>
          <w:tcPr>
            <w:tcW w:w="1715" w:type="dxa"/>
            <w:tcBorders>
              <w:left w:val="nil"/>
              <w:bottom w:val="nil"/>
              <w:right w:val="nil"/>
            </w:tcBorders>
          </w:tcPr>
          <w:p w14:paraId="307D3BC4" w14:textId="564DD2FD" w:rsidR="00434918" w:rsidRPr="00434918" w:rsidRDefault="00434918" w:rsidP="00227787">
            <w:pPr>
              <w:jc w:val="right"/>
              <w:rPr>
                <w:rFonts w:ascii="Arial" w:hAnsi="Arial" w:cs="Arial"/>
                <w:sz w:val="22"/>
                <w:szCs w:val="22"/>
                <w:highlight w:val="yellow"/>
              </w:rPr>
            </w:pPr>
            <w:r w:rsidRPr="00474CAB">
              <w:rPr>
                <w:rFonts w:ascii="Arial" w:hAnsi="Arial" w:cs="Arial"/>
                <w:sz w:val="22"/>
                <w:szCs w:val="22"/>
              </w:rPr>
              <w:t>$</w:t>
            </w:r>
            <w:r w:rsidR="00474CAB" w:rsidRPr="00474CAB">
              <w:rPr>
                <w:rFonts w:ascii="Arial" w:hAnsi="Arial" w:cs="Arial"/>
                <w:sz w:val="22"/>
                <w:szCs w:val="22"/>
              </w:rPr>
              <w:t>233,805,562</w:t>
            </w:r>
          </w:p>
        </w:tc>
        <w:tc>
          <w:tcPr>
            <w:tcW w:w="162" w:type="dxa"/>
            <w:tcBorders>
              <w:top w:val="nil"/>
              <w:left w:val="nil"/>
              <w:bottom w:val="nil"/>
              <w:right w:val="nil"/>
            </w:tcBorders>
          </w:tcPr>
          <w:p w14:paraId="4F6A8DAB" w14:textId="77777777" w:rsidR="00434918" w:rsidRPr="00434918" w:rsidRDefault="00434918" w:rsidP="00227787">
            <w:pPr>
              <w:jc w:val="right"/>
              <w:rPr>
                <w:rFonts w:ascii="Arial" w:hAnsi="Arial" w:cs="Arial"/>
                <w:sz w:val="22"/>
                <w:szCs w:val="22"/>
                <w:highlight w:val="yellow"/>
              </w:rPr>
            </w:pPr>
          </w:p>
        </w:tc>
        <w:tc>
          <w:tcPr>
            <w:tcW w:w="1607" w:type="dxa"/>
            <w:tcBorders>
              <w:top w:val="single" w:sz="2" w:space="0" w:color="auto"/>
              <w:left w:val="nil"/>
              <w:bottom w:val="nil"/>
              <w:right w:val="nil"/>
            </w:tcBorders>
            <w:tcMar>
              <w:top w:w="72" w:type="dxa"/>
              <w:bottom w:w="72" w:type="dxa"/>
            </w:tcMar>
          </w:tcPr>
          <w:p w14:paraId="45C9AD31" w14:textId="01E3B048" w:rsidR="00434918" w:rsidRPr="00434918" w:rsidRDefault="00434918" w:rsidP="00227787">
            <w:pPr>
              <w:jc w:val="right"/>
              <w:rPr>
                <w:rFonts w:ascii="Arial" w:hAnsi="Arial" w:cs="Arial"/>
                <w:sz w:val="22"/>
                <w:szCs w:val="22"/>
                <w:highlight w:val="yellow"/>
              </w:rPr>
            </w:pPr>
            <w:r w:rsidRPr="00EE4D9E">
              <w:rPr>
                <w:rFonts w:ascii="Arial" w:hAnsi="Arial" w:cs="Arial"/>
                <w:sz w:val="22"/>
                <w:szCs w:val="22"/>
              </w:rPr>
              <w:t>$</w:t>
            </w:r>
            <w:r w:rsidR="00EE4D9E" w:rsidRPr="00EE4D9E">
              <w:rPr>
                <w:rFonts w:ascii="Arial" w:hAnsi="Arial" w:cs="Arial"/>
                <w:sz w:val="22"/>
                <w:szCs w:val="22"/>
              </w:rPr>
              <w:t>67,960,346</w:t>
            </w:r>
          </w:p>
        </w:tc>
        <w:tc>
          <w:tcPr>
            <w:tcW w:w="162" w:type="dxa"/>
            <w:tcBorders>
              <w:top w:val="nil"/>
              <w:left w:val="nil"/>
              <w:bottom w:val="nil"/>
              <w:right w:val="nil"/>
            </w:tcBorders>
          </w:tcPr>
          <w:p w14:paraId="650602FF" w14:textId="77777777" w:rsidR="00434918" w:rsidRPr="00434918" w:rsidRDefault="00434918" w:rsidP="00227787">
            <w:pPr>
              <w:jc w:val="right"/>
              <w:rPr>
                <w:rFonts w:ascii="Arial" w:hAnsi="Arial" w:cs="Arial"/>
                <w:sz w:val="22"/>
                <w:szCs w:val="22"/>
                <w:highlight w:val="yellow"/>
              </w:rPr>
            </w:pPr>
          </w:p>
        </w:tc>
        <w:tc>
          <w:tcPr>
            <w:tcW w:w="1621" w:type="dxa"/>
            <w:tcBorders>
              <w:top w:val="single" w:sz="2" w:space="0" w:color="auto"/>
              <w:left w:val="nil"/>
              <w:bottom w:val="nil"/>
              <w:right w:val="nil"/>
            </w:tcBorders>
            <w:tcMar>
              <w:top w:w="72" w:type="dxa"/>
              <w:bottom w:w="72" w:type="dxa"/>
            </w:tcMar>
          </w:tcPr>
          <w:p w14:paraId="32ADD471" w14:textId="3312B475" w:rsidR="00434918" w:rsidRPr="00434918" w:rsidRDefault="00434918" w:rsidP="00227787">
            <w:pPr>
              <w:jc w:val="right"/>
              <w:rPr>
                <w:rFonts w:ascii="Arial" w:hAnsi="Arial" w:cs="Arial"/>
                <w:sz w:val="22"/>
                <w:szCs w:val="22"/>
                <w:highlight w:val="yellow"/>
              </w:rPr>
            </w:pPr>
            <w:r w:rsidRPr="00B75715">
              <w:rPr>
                <w:rFonts w:ascii="Arial" w:hAnsi="Arial" w:cs="Arial"/>
                <w:sz w:val="22"/>
                <w:szCs w:val="22"/>
              </w:rPr>
              <w:t>$</w:t>
            </w:r>
            <w:r w:rsidR="00EE4D9E" w:rsidRPr="00B75715">
              <w:rPr>
                <w:rFonts w:ascii="Arial" w:hAnsi="Arial" w:cs="Arial"/>
                <w:sz w:val="22"/>
                <w:szCs w:val="22"/>
              </w:rPr>
              <w:t>76,297,</w:t>
            </w:r>
            <w:r w:rsidR="00B75715" w:rsidRPr="00B75715">
              <w:rPr>
                <w:rFonts w:ascii="Arial" w:hAnsi="Arial" w:cs="Arial"/>
                <w:sz w:val="22"/>
                <w:szCs w:val="22"/>
              </w:rPr>
              <w:t>587</w:t>
            </w:r>
          </w:p>
        </w:tc>
      </w:tr>
      <w:tr w:rsidR="00B75715" w:rsidRPr="00502C56" w14:paraId="7721DD79" w14:textId="77777777" w:rsidTr="00B868C1">
        <w:trPr>
          <w:cantSplit/>
          <w:trHeight w:val="216"/>
          <w:jc w:val="center"/>
        </w:trPr>
        <w:tc>
          <w:tcPr>
            <w:tcW w:w="2813" w:type="dxa"/>
            <w:tcBorders>
              <w:top w:val="nil"/>
              <w:left w:val="nil"/>
              <w:bottom w:val="dotted" w:sz="4" w:space="0" w:color="auto"/>
              <w:right w:val="nil"/>
            </w:tcBorders>
            <w:tcMar>
              <w:top w:w="72" w:type="dxa"/>
              <w:left w:w="115" w:type="dxa"/>
              <w:bottom w:w="72" w:type="dxa"/>
              <w:right w:w="115" w:type="dxa"/>
            </w:tcMar>
          </w:tcPr>
          <w:p w14:paraId="2C5F9C1F" w14:textId="77777777" w:rsidR="00B75715" w:rsidRPr="00502C56" w:rsidRDefault="00B75715" w:rsidP="00B75715">
            <w:pPr>
              <w:rPr>
                <w:rFonts w:ascii="Arial" w:hAnsi="Arial" w:cs="Arial"/>
                <w:b/>
                <w:sz w:val="22"/>
                <w:szCs w:val="22"/>
              </w:rPr>
            </w:pPr>
            <w:r w:rsidRPr="00502C56">
              <w:rPr>
                <w:rFonts w:ascii="Arial" w:hAnsi="Arial" w:cs="Arial"/>
                <w:b/>
                <w:sz w:val="22"/>
                <w:szCs w:val="22"/>
              </w:rPr>
              <w:t>Expenditures</w:t>
            </w:r>
          </w:p>
        </w:tc>
        <w:tc>
          <w:tcPr>
            <w:tcW w:w="177" w:type="dxa"/>
            <w:tcBorders>
              <w:top w:val="nil"/>
              <w:left w:val="nil"/>
              <w:bottom w:val="dotted" w:sz="4" w:space="0" w:color="auto"/>
              <w:right w:val="nil"/>
            </w:tcBorders>
          </w:tcPr>
          <w:p w14:paraId="6AF52AF3" w14:textId="77777777" w:rsidR="00B75715" w:rsidRPr="00502C56" w:rsidRDefault="00B75715" w:rsidP="00B75715">
            <w:pPr>
              <w:jc w:val="right"/>
              <w:rPr>
                <w:rFonts w:ascii="Arial" w:hAnsi="Arial" w:cs="Arial"/>
                <w:sz w:val="22"/>
                <w:szCs w:val="22"/>
              </w:rPr>
            </w:pPr>
          </w:p>
        </w:tc>
        <w:tc>
          <w:tcPr>
            <w:tcW w:w="1715" w:type="dxa"/>
            <w:tcBorders>
              <w:top w:val="nil"/>
              <w:left w:val="nil"/>
              <w:bottom w:val="dotted" w:sz="4" w:space="0" w:color="auto"/>
              <w:right w:val="nil"/>
            </w:tcBorders>
          </w:tcPr>
          <w:p w14:paraId="5A7D9660" w14:textId="29A0A51F" w:rsidR="00B75715" w:rsidRPr="00434918" w:rsidRDefault="00B75715" w:rsidP="00B75715">
            <w:pPr>
              <w:jc w:val="right"/>
              <w:rPr>
                <w:rFonts w:ascii="Arial" w:hAnsi="Arial" w:cs="Arial"/>
                <w:sz w:val="22"/>
                <w:szCs w:val="22"/>
                <w:highlight w:val="yellow"/>
              </w:rPr>
            </w:pPr>
            <w:r w:rsidRPr="00474CAB">
              <w:rPr>
                <w:rFonts w:ascii="Arial" w:hAnsi="Arial" w:cs="Arial"/>
                <w:sz w:val="22"/>
                <w:szCs w:val="22"/>
              </w:rPr>
              <w:t>$233,805,562</w:t>
            </w:r>
          </w:p>
        </w:tc>
        <w:tc>
          <w:tcPr>
            <w:tcW w:w="162" w:type="dxa"/>
            <w:tcBorders>
              <w:top w:val="nil"/>
              <w:left w:val="nil"/>
              <w:bottom w:val="dotted" w:sz="4" w:space="0" w:color="auto"/>
              <w:right w:val="nil"/>
            </w:tcBorders>
          </w:tcPr>
          <w:p w14:paraId="1EFEC282" w14:textId="77777777" w:rsidR="00B75715" w:rsidRPr="00434918" w:rsidRDefault="00B75715" w:rsidP="00B75715">
            <w:pPr>
              <w:jc w:val="right"/>
              <w:rPr>
                <w:rFonts w:ascii="Arial" w:hAnsi="Arial" w:cs="Arial"/>
                <w:sz w:val="22"/>
                <w:szCs w:val="22"/>
                <w:highlight w:val="yellow"/>
              </w:rPr>
            </w:pPr>
          </w:p>
        </w:tc>
        <w:tc>
          <w:tcPr>
            <w:tcW w:w="1607" w:type="dxa"/>
            <w:tcBorders>
              <w:top w:val="nil"/>
              <w:left w:val="nil"/>
              <w:bottom w:val="dotted" w:sz="4" w:space="0" w:color="auto"/>
              <w:right w:val="nil"/>
            </w:tcBorders>
            <w:tcMar>
              <w:top w:w="72" w:type="dxa"/>
              <w:bottom w:w="72" w:type="dxa"/>
            </w:tcMar>
          </w:tcPr>
          <w:p w14:paraId="2E78C2B4" w14:textId="6A024C1A" w:rsidR="00B75715" w:rsidRPr="00434918" w:rsidRDefault="00B75715" w:rsidP="00B75715">
            <w:pPr>
              <w:jc w:val="right"/>
              <w:rPr>
                <w:rFonts w:ascii="Arial" w:hAnsi="Arial" w:cs="Arial"/>
                <w:sz w:val="22"/>
                <w:szCs w:val="22"/>
                <w:highlight w:val="yellow"/>
              </w:rPr>
            </w:pPr>
            <w:r w:rsidRPr="00EE4D9E">
              <w:rPr>
                <w:rFonts w:ascii="Arial" w:hAnsi="Arial" w:cs="Arial"/>
                <w:sz w:val="22"/>
                <w:szCs w:val="22"/>
              </w:rPr>
              <w:t>$67,960,346</w:t>
            </w:r>
          </w:p>
        </w:tc>
        <w:tc>
          <w:tcPr>
            <w:tcW w:w="162" w:type="dxa"/>
            <w:tcBorders>
              <w:top w:val="nil"/>
              <w:left w:val="nil"/>
              <w:bottom w:val="dotted" w:sz="4" w:space="0" w:color="auto"/>
              <w:right w:val="nil"/>
            </w:tcBorders>
          </w:tcPr>
          <w:p w14:paraId="69D2462F" w14:textId="77777777" w:rsidR="00B75715" w:rsidRPr="00434918" w:rsidRDefault="00B75715" w:rsidP="00B75715">
            <w:pPr>
              <w:jc w:val="right"/>
              <w:rPr>
                <w:rFonts w:ascii="Arial" w:hAnsi="Arial" w:cs="Arial"/>
                <w:sz w:val="22"/>
                <w:szCs w:val="22"/>
                <w:highlight w:val="yellow"/>
              </w:rPr>
            </w:pPr>
          </w:p>
        </w:tc>
        <w:tc>
          <w:tcPr>
            <w:tcW w:w="1621" w:type="dxa"/>
            <w:tcBorders>
              <w:top w:val="nil"/>
              <w:left w:val="nil"/>
              <w:bottom w:val="dotted" w:sz="4" w:space="0" w:color="auto"/>
              <w:right w:val="nil"/>
            </w:tcBorders>
            <w:tcMar>
              <w:top w:w="72" w:type="dxa"/>
              <w:bottom w:w="72" w:type="dxa"/>
            </w:tcMar>
          </w:tcPr>
          <w:p w14:paraId="42DB6E43" w14:textId="1287221F" w:rsidR="00B75715" w:rsidRPr="00434918" w:rsidRDefault="00B75715" w:rsidP="00B75715">
            <w:pPr>
              <w:jc w:val="right"/>
              <w:rPr>
                <w:rFonts w:ascii="Arial" w:hAnsi="Arial" w:cs="Arial"/>
                <w:sz w:val="22"/>
                <w:szCs w:val="22"/>
                <w:highlight w:val="yellow"/>
              </w:rPr>
            </w:pPr>
            <w:r w:rsidRPr="00B75715">
              <w:rPr>
                <w:rFonts w:ascii="Arial" w:hAnsi="Arial" w:cs="Arial"/>
                <w:sz w:val="22"/>
                <w:szCs w:val="22"/>
              </w:rPr>
              <w:t>$76,297,587</w:t>
            </w:r>
          </w:p>
        </w:tc>
      </w:tr>
      <w:tr w:rsidR="00434918" w:rsidRPr="00502C56" w14:paraId="7FE90454" w14:textId="77777777" w:rsidTr="00227787">
        <w:trPr>
          <w:cantSplit/>
          <w:trHeight w:val="485"/>
          <w:jc w:val="center"/>
        </w:trPr>
        <w:tc>
          <w:tcPr>
            <w:tcW w:w="8257" w:type="dxa"/>
            <w:gridSpan w:val="7"/>
            <w:tcBorders>
              <w:top w:val="dotted" w:sz="4" w:space="0" w:color="auto"/>
              <w:left w:val="nil"/>
              <w:bottom w:val="single" w:sz="12" w:space="0" w:color="auto"/>
              <w:right w:val="single" w:sz="2" w:space="0" w:color="FFFFFF" w:themeColor="background1"/>
            </w:tcBorders>
            <w:tcMar>
              <w:top w:w="72" w:type="dxa"/>
              <w:left w:w="115" w:type="dxa"/>
              <w:bottom w:w="72" w:type="dxa"/>
              <w:right w:w="115" w:type="dxa"/>
            </w:tcMar>
            <w:vAlign w:val="center"/>
          </w:tcPr>
          <w:p w14:paraId="693A62B1" w14:textId="77777777" w:rsidR="00434918" w:rsidRPr="00502C56" w:rsidRDefault="00434918" w:rsidP="00227787">
            <w:pPr>
              <w:rPr>
                <w:rFonts w:ascii="Arial" w:hAnsi="Arial" w:cs="Arial"/>
                <w:sz w:val="22"/>
                <w:szCs w:val="22"/>
              </w:rPr>
            </w:pPr>
            <w:r w:rsidRPr="00502C56">
              <w:rPr>
                <w:rFonts w:ascii="Arial" w:hAnsi="Arial" w:cs="Arial"/>
                <w:b/>
                <w:sz w:val="22"/>
                <w:szCs w:val="22"/>
              </w:rPr>
              <w:t>Major Revenue Sources:</w:t>
            </w:r>
            <w:r w:rsidRPr="00502C56">
              <w:rPr>
                <w:rFonts w:ascii="Arial" w:hAnsi="Arial" w:cs="Arial"/>
                <w:sz w:val="22"/>
                <w:szCs w:val="22"/>
              </w:rPr>
              <w:t xml:space="preserve"> Sales tax, Marine property tax, grants, interest income</w:t>
            </w:r>
          </w:p>
        </w:tc>
      </w:tr>
    </w:tbl>
    <w:p w14:paraId="2957F72A" w14:textId="77777777" w:rsidR="00434918" w:rsidRPr="00502C56" w:rsidRDefault="00434918" w:rsidP="00434918">
      <w:pPr>
        <w:spacing w:line="264" w:lineRule="auto"/>
        <w:contextualSpacing/>
        <w:rPr>
          <w:rFonts w:ascii="Arial" w:hAnsi="Arial" w:cs="Arial"/>
          <w:b/>
          <w:smallCaps/>
          <w:szCs w:val="24"/>
          <w:u w:val="single"/>
        </w:rPr>
      </w:pPr>
    </w:p>
    <w:p w14:paraId="2EB1C86C" w14:textId="77777777" w:rsidR="00434918" w:rsidRPr="00502C56" w:rsidRDefault="00434918" w:rsidP="00434918">
      <w:pPr>
        <w:keepNext/>
        <w:spacing w:after="120" w:line="264" w:lineRule="auto"/>
        <w:jc w:val="center"/>
        <w:rPr>
          <w:rFonts w:ascii="Arial Bold" w:hAnsi="Arial Bold" w:cs="Arial"/>
          <w:b/>
          <w:szCs w:val="24"/>
        </w:rPr>
      </w:pPr>
      <w:r w:rsidRPr="00502C56">
        <w:rPr>
          <w:rFonts w:ascii="Arial Bold" w:hAnsi="Arial Bold" w:cs="Arial"/>
          <w:b/>
          <w:szCs w:val="24"/>
        </w:rPr>
        <w:lastRenderedPageBreak/>
        <w:t>Revenue Stabilization Reserve Fund (4643)</w:t>
      </w:r>
    </w:p>
    <w:tbl>
      <w:tblPr>
        <w:tblStyle w:val="TableGrid"/>
        <w:tblW w:w="8257" w:type="dxa"/>
        <w:jc w:val="center"/>
        <w:tblCellMar>
          <w:left w:w="72" w:type="dxa"/>
          <w:right w:w="72" w:type="dxa"/>
        </w:tblCellMar>
        <w:tblLook w:val="04A0" w:firstRow="1" w:lastRow="0" w:firstColumn="1" w:lastColumn="0" w:noHBand="0" w:noVBand="1"/>
      </w:tblPr>
      <w:tblGrid>
        <w:gridCol w:w="2959"/>
        <w:gridCol w:w="180"/>
        <w:gridCol w:w="1516"/>
        <w:gridCol w:w="164"/>
        <w:gridCol w:w="1637"/>
        <w:gridCol w:w="164"/>
        <w:gridCol w:w="1637"/>
      </w:tblGrid>
      <w:tr w:rsidR="00B868C1" w:rsidRPr="00502C56" w14:paraId="066F26AF" w14:textId="77777777" w:rsidTr="00227787">
        <w:trPr>
          <w:cantSplit/>
          <w:trHeight w:val="411"/>
          <w:tblHeader/>
          <w:jc w:val="center"/>
        </w:trPr>
        <w:tc>
          <w:tcPr>
            <w:tcW w:w="2959" w:type="dxa"/>
            <w:tcBorders>
              <w:top w:val="single" w:sz="12" w:space="0" w:color="auto"/>
              <w:left w:val="nil"/>
              <w:bottom w:val="single" w:sz="4" w:space="0" w:color="auto"/>
              <w:right w:val="nil"/>
            </w:tcBorders>
            <w:shd w:val="clear" w:color="auto" w:fill="auto"/>
            <w:vAlign w:val="center"/>
          </w:tcPr>
          <w:p w14:paraId="7562999E" w14:textId="77777777" w:rsidR="00B868C1" w:rsidRPr="00502C56" w:rsidRDefault="00B868C1" w:rsidP="00B868C1">
            <w:pPr>
              <w:keepNext/>
              <w:rPr>
                <w:rFonts w:ascii="Arial" w:hAnsi="Arial" w:cs="Arial"/>
                <w:b/>
                <w:sz w:val="22"/>
                <w:szCs w:val="22"/>
              </w:rPr>
            </w:pPr>
          </w:p>
        </w:tc>
        <w:tc>
          <w:tcPr>
            <w:tcW w:w="180" w:type="dxa"/>
            <w:tcBorders>
              <w:top w:val="single" w:sz="12" w:space="0" w:color="auto"/>
              <w:left w:val="nil"/>
              <w:bottom w:val="nil"/>
              <w:right w:val="nil"/>
            </w:tcBorders>
          </w:tcPr>
          <w:p w14:paraId="62AC400D" w14:textId="77777777" w:rsidR="00B868C1" w:rsidRPr="00502C56" w:rsidRDefault="00B868C1" w:rsidP="00B868C1">
            <w:pPr>
              <w:keepNext/>
              <w:rPr>
                <w:rFonts w:ascii="Arial" w:hAnsi="Arial" w:cs="Arial"/>
                <w:b/>
                <w:sz w:val="22"/>
                <w:szCs w:val="22"/>
              </w:rPr>
            </w:pPr>
          </w:p>
        </w:tc>
        <w:tc>
          <w:tcPr>
            <w:tcW w:w="1516" w:type="dxa"/>
            <w:tcBorders>
              <w:top w:val="single" w:sz="12" w:space="0" w:color="auto"/>
              <w:left w:val="nil"/>
              <w:bottom w:val="nil"/>
              <w:right w:val="nil"/>
            </w:tcBorders>
            <w:vAlign w:val="center"/>
          </w:tcPr>
          <w:p w14:paraId="05222418" w14:textId="74522FB4" w:rsidR="00B868C1" w:rsidRPr="00502C56" w:rsidRDefault="00B868C1" w:rsidP="00B868C1">
            <w:pPr>
              <w:keepNext/>
              <w:jc w:val="center"/>
              <w:rPr>
                <w:rFonts w:ascii="Arial" w:hAnsi="Arial" w:cs="Arial"/>
                <w:b/>
                <w:sz w:val="22"/>
                <w:szCs w:val="22"/>
              </w:rPr>
            </w:pPr>
            <w:r>
              <w:rPr>
                <w:rFonts w:ascii="Arial" w:hAnsi="Arial" w:cs="Arial"/>
                <w:b/>
                <w:sz w:val="22"/>
                <w:szCs w:val="22"/>
              </w:rPr>
              <w:t>2023-2024 Proposed</w:t>
            </w:r>
          </w:p>
        </w:tc>
        <w:tc>
          <w:tcPr>
            <w:tcW w:w="164" w:type="dxa"/>
            <w:tcBorders>
              <w:top w:val="single" w:sz="12" w:space="0" w:color="auto"/>
              <w:left w:val="nil"/>
              <w:bottom w:val="nil"/>
              <w:right w:val="nil"/>
            </w:tcBorders>
          </w:tcPr>
          <w:p w14:paraId="09CF5961" w14:textId="77777777" w:rsidR="00B868C1" w:rsidRPr="00502C56" w:rsidRDefault="00B868C1" w:rsidP="00B868C1">
            <w:pPr>
              <w:keepNext/>
              <w:rPr>
                <w:rFonts w:ascii="Arial" w:hAnsi="Arial" w:cs="Arial"/>
                <w:b/>
                <w:sz w:val="22"/>
                <w:szCs w:val="22"/>
              </w:rPr>
            </w:pPr>
          </w:p>
        </w:tc>
        <w:tc>
          <w:tcPr>
            <w:tcW w:w="1637" w:type="dxa"/>
            <w:tcBorders>
              <w:top w:val="single" w:sz="12" w:space="0" w:color="auto"/>
              <w:left w:val="nil"/>
              <w:bottom w:val="single" w:sz="2" w:space="0" w:color="auto"/>
              <w:right w:val="nil"/>
            </w:tcBorders>
            <w:shd w:val="clear" w:color="auto" w:fill="auto"/>
            <w:vAlign w:val="center"/>
          </w:tcPr>
          <w:p w14:paraId="72A49B9A" w14:textId="7A8B2CF2" w:rsidR="00B868C1" w:rsidRPr="00502C56" w:rsidRDefault="00B868C1" w:rsidP="00B868C1">
            <w:pPr>
              <w:keepNext/>
              <w:jc w:val="center"/>
              <w:rPr>
                <w:rFonts w:ascii="Arial" w:hAnsi="Arial" w:cs="Arial"/>
                <w:b/>
                <w:sz w:val="22"/>
                <w:szCs w:val="22"/>
              </w:rPr>
            </w:pPr>
            <w:r>
              <w:rPr>
                <w:rFonts w:ascii="Arial" w:hAnsi="Arial" w:cs="Arial"/>
                <w:b/>
                <w:sz w:val="22"/>
                <w:szCs w:val="22"/>
              </w:rPr>
              <w:t>2025-2026 Projected</w:t>
            </w:r>
          </w:p>
        </w:tc>
        <w:tc>
          <w:tcPr>
            <w:tcW w:w="164" w:type="dxa"/>
            <w:tcBorders>
              <w:top w:val="single" w:sz="12" w:space="0" w:color="auto"/>
              <w:left w:val="nil"/>
              <w:bottom w:val="nil"/>
              <w:right w:val="nil"/>
            </w:tcBorders>
          </w:tcPr>
          <w:p w14:paraId="2FF25A15" w14:textId="77777777" w:rsidR="00B868C1" w:rsidRPr="00502C56" w:rsidRDefault="00B868C1" w:rsidP="00B868C1">
            <w:pPr>
              <w:keepNext/>
              <w:rPr>
                <w:rFonts w:ascii="Arial" w:hAnsi="Arial" w:cs="Arial"/>
                <w:b/>
                <w:sz w:val="22"/>
                <w:szCs w:val="22"/>
              </w:rPr>
            </w:pPr>
          </w:p>
        </w:tc>
        <w:tc>
          <w:tcPr>
            <w:tcW w:w="1637" w:type="dxa"/>
            <w:tcBorders>
              <w:top w:val="single" w:sz="12" w:space="0" w:color="auto"/>
              <w:left w:val="nil"/>
              <w:bottom w:val="single" w:sz="2" w:space="0" w:color="auto"/>
              <w:right w:val="nil"/>
            </w:tcBorders>
            <w:vAlign w:val="center"/>
          </w:tcPr>
          <w:p w14:paraId="7F76AA45" w14:textId="13FF1109" w:rsidR="00B868C1" w:rsidRPr="00502C56" w:rsidRDefault="00B868C1" w:rsidP="00B868C1">
            <w:pPr>
              <w:keepNext/>
              <w:jc w:val="center"/>
              <w:rPr>
                <w:rFonts w:ascii="Arial" w:hAnsi="Arial" w:cs="Arial"/>
                <w:b/>
                <w:sz w:val="22"/>
                <w:szCs w:val="22"/>
              </w:rPr>
            </w:pPr>
            <w:r>
              <w:rPr>
                <w:rFonts w:ascii="Arial" w:hAnsi="Arial" w:cs="Arial"/>
                <w:b/>
                <w:sz w:val="22"/>
                <w:szCs w:val="22"/>
              </w:rPr>
              <w:t>2027-2028 Projected</w:t>
            </w:r>
          </w:p>
        </w:tc>
      </w:tr>
      <w:tr w:rsidR="00434918" w:rsidRPr="00502C56" w14:paraId="13D9F5DE" w14:textId="77777777" w:rsidTr="00227787">
        <w:trPr>
          <w:cantSplit/>
          <w:jc w:val="center"/>
        </w:trPr>
        <w:tc>
          <w:tcPr>
            <w:tcW w:w="2959" w:type="dxa"/>
            <w:tcBorders>
              <w:left w:val="nil"/>
              <w:bottom w:val="nil"/>
              <w:right w:val="nil"/>
            </w:tcBorders>
            <w:tcMar>
              <w:top w:w="72" w:type="dxa"/>
              <w:left w:w="115" w:type="dxa"/>
              <w:bottom w:w="72" w:type="dxa"/>
              <w:right w:w="115" w:type="dxa"/>
            </w:tcMar>
          </w:tcPr>
          <w:p w14:paraId="712BC6BC" w14:textId="77777777" w:rsidR="00434918" w:rsidRPr="00502C56" w:rsidRDefault="00434918" w:rsidP="00227787">
            <w:pPr>
              <w:rPr>
                <w:rFonts w:ascii="Arial" w:hAnsi="Arial" w:cs="Arial"/>
                <w:b/>
                <w:sz w:val="22"/>
                <w:szCs w:val="22"/>
              </w:rPr>
            </w:pPr>
            <w:r w:rsidRPr="00502C56">
              <w:rPr>
                <w:rFonts w:ascii="Arial" w:hAnsi="Arial" w:cs="Arial"/>
                <w:b/>
                <w:sz w:val="22"/>
                <w:szCs w:val="22"/>
              </w:rPr>
              <w:t>Revenues</w:t>
            </w:r>
          </w:p>
        </w:tc>
        <w:tc>
          <w:tcPr>
            <w:tcW w:w="180" w:type="dxa"/>
            <w:tcBorders>
              <w:top w:val="nil"/>
              <w:left w:val="nil"/>
              <w:bottom w:val="nil"/>
              <w:right w:val="nil"/>
            </w:tcBorders>
          </w:tcPr>
          <w:p w14:paraId="37741F38" w14:textId="77777777" w:rsidR="00434918" w:rsidRPr="00502C56" w:rsidRDefault="00434918" w:rsidP="00227787">
            <w:pPr>
              <w:jc w:val="right"/>
              <w:rPr>
                <w:rFonts w:ascii="Arial" w:hAnsi="Arial" w:cs="Arial"/>
                <w:sz w:val="22"/>
                <w:szCs w:val="22"/>
              </w:rPr>
            </w:pPr>
          </w:p>
        </w:tc>
        <w:tc>
          <w:tcPr>
            <w:tcW w:w="1516" w:type="dxa"/>
            <w:tcBorders>
              <w:left w:val="nil"/>
              <w:bottom w:val="nil"/>
              <w:right w:val="nil"/>
            </w:tcBorders>
          </w:tcPr>
          <w:p w14:paraId="7CDE8A2C" w14:textId="044AD11F" w:rsidR="00434918" w:rsidRPr="00B809AF" w:rsidRDefault="00434918" w:rsidP="00227787">
            <w:pPr>
              <w:jc w:val="right"/>
              <w:rPr>
                <w:rFonts w:ascii="Arial" w:hAnsi="Arial" w:cs="Arial"/>
                <w:sz w:val="22"/>
                <w:szCs w:val="22"/>
              </w:rPr>
            </w:pPr>
            <w:r w:rsidRPr="00B809AF">
              <w:rPr>
                <w:rFonts w:ascii="Arial" w:hAnsi="Arial" w:cs="Arial"/>
                <w:sz w:val="22"/>
                <w:szCs w:val="22"/>
              </w:rPr>
              <w:t>$</w:t>
            </w:r>
            <w:r w:rsidR="00072CC4" w:rsidRPr="00B809AF">
              <w:rPr>
                <w:rFonts w:ascii="Arial" w:hAnsi="Arial" w:cs="Arial"/>
                <w:sz w:val="22"/>
                <w:szCs w:val="22"/>
              </w:rPr>
              <w:t>16.</w:t>
            </w:r>
            <w:r w:rsidR="00B809AF" w:rsidRPr="00B809AF">
              <w:rPr>
                <w:rFonts w:ascii="Arial" w:hAnsi="Arial" w:cs="Arial"/>
                <w:sz w:val="22"/>
                <w:szCs w:val="22"/>
              </w:rPr>
              <w:t>192,374</w:t>
            </w:r>
          </w:p>
        </w:tc>
        <w:tc>
          <w:tcPr>
            <w:tcW w:w="164" w:type="dxa"/>
            <w:tcBorders>
              <w:top w:val="nil"/>
              <w:left w:val="nil"/>
              <w:bottom w:val="nil"/>
              <w:right w:val="nil"/>
            </w:tcBorders>
          </w:tcPr>
          <w:p w14:paraId="0067AA3B" w14:textId="77777777" w:rsidR="00434918" w:rsidRPr="00B868C1" w:rsidRDefault="00434918" w:rsidP="00227787">
            <w:pPr>
              <w:jc w:val="right"/>
              <w:rPr>
                <w:rFonts w:ascii="Arial" w:hAnsi="Arial" w:cs="Arial"/>
                <w:sz w:val="22"/>
                <w:szCs w:val="22"/>
                <w:highlight w:val="yellow"/>
              </w:rPr>
            </w:pPr>
          </w:p>
        </w:tc>
        <w:tc>
          <w:tcPr>
            <w:tcW w:w="1637" w:type="dxa"/>
            <w:tcBorders>
              <w:top w:val="single" w:sz="2" w:space="0" w:color="auto"/>
              <w:left w:val="nil"/>
              <w:bottom w:val="nil"/>
              <w:right w:val="nil"/>
            </w:tcBorders>
            <w:tcMar>
              <w:top w:w="72" w:type="dxa"/>
              <w:bottom w:w="72" w:type="dxa"/>
            </w:tcMar>
          </w:tcPr>
          <w:p w14:paraId="23FA50CF" w14:textId="464D3516" w:rsidR="00434918" w:rsidRPr="00B809AF" w:rsidRDefault="00434918" w:rsidP="00227787">
            <w:pPr>
              <w:jc w:val="right"/>
              <w:rPr>
                <w:rFonts w:ascii="Arial" w:hAnsi="Arial" w:cs="Arial"/>
                <w:sz w:val="22"/>
                <w:szCs w:val="22"/>
              </w:rPr>
            </w:pPr>
            <w:r w:rsidRPr="00B809AF">
              <w:rPr>
                <w:rFonts w:ascii="Arial" w:hAnsi="Arial" w:cs="Arial"/>
                <w:sz w:val="22"/>
                <w:szCs w:val="22"/>
              </w:rPr>
              <w:t>$</w:t>
            </w:r>
            <w:r w:rsidR="00B809AF" w:rsidRPr="00B809AF">
              <w:rPr>
                <w:rFonts w:ascii="Arial" w:hAnsi="Arial" w:cs="Arial"/>
                <w:sz w:val="22"/>
                <w:szCs w:val="22"/>
              </w:rPr>
              <w:t>20,033,161</w:t>
            </w:r>
          </w:p>
        </w:tc>
        <w:tc>
          <w:tcPr>
            <w:tcW w:w="164" w:type="dxa"/>
            <w:tcBorders>
              <w:top w:val="nil"/>
              <w:left w:val="nil"/>
              <w:bottom w:val="nil"/>
              <w:right w:val="nil"/>
            </w:tcBorders>
          </w:tcPr>
          <w:p w14:paraId="54FAD198" w14:textId="77777777" w:rsidR="00434918" w:rsidRPr="00B868C1" w:rsidRDefault="00434918" w:rsidP="00227787">
            <w:pPr>
              <w:jc w:val="right"/>
              <w:rPr>
                <w:rFonts w:ascii="Arial" w:hAnsi="Arial" w:cs="Arial"/>
                <w:sz w:val="22"/>
                <w:szCs w:val="22"/>
                <w:highlight w:val="yellow"/>
              </w:rPr>
            </w:pPr>
          </w:p>
        </w:tc>
        <w:tc>
          <w:tcPr>
            <w:tcW w:w="1637" w:type="dxa"/>
            <w:tcBorders>
              <w:top w:val="single" w:sz="2" w:space="0" w:color="auto"/>
              <w:left w:val="nil"/>
              <w:bottom w:val="nil"/>
              <w:right w:val="nil"/>
            </w:tcBorders>
            <w:tcMar>
              <w:top w:w="72" w:type="dxa"/>
              <w:bottom w:w="72" w:type="dxa"/>
            </w:tcMar>
          </w:tcPr>
          <w:p w14:paraId="35478584" w14:textId="338936B8" w:rsidR="00434918" w:rsidRPr="00FA7DF3" w:rsidRDefault="00434918" w:rsidP="00227787">
            <w:pPr>
              <w:jc w:val="right"/>
              <w:rPr>
                <w:rFonts w:ascii="Arial" w:hAnsi="Arial" w:cs="Arial"/>
                <w:sz w:val="22"/>
                <w:szCs w:val="22"/>
              </w:rPr>
            </w:pPr>
            <w:r w:rsidRPr="00FA7DF3">
              <w:rPr>
                <w:rFonts w:ascii="Arial" w:hAnsi="Arial" w:cs="Arial"/>
                <w:sz w:val="22"/>
                <w:szCs w:val="22"/>
              </w:rPr>
              <w:t>$</w:t>
            </w:r>
            <w:r w:rsidR="00FA7DF3" w:rsidRPr="00FA7DF3">
              <w:rPr>
                <w:rFonts w:ascii="Arial" w:hAnsi="Arial" w:cs="Arial"/>
                <w:sz w:val="22"/>
                <w:szCs w:val="22"/>
              </w:rPr>
              <w:t>21,128,106</w:t>
            </w:r>
          </w:p>
        </w:tc>
      </w:tr>
      <w:tr w:rsidR="00434918" w:rsidRPr="00502C56" w14:paraId="33714B8C" w14:textId="77777777" w:rsidTr="00227787">
        <w:trPr>
          <w:cantSplit/>
          <w:trHeight w:val="216"/>
          <w:jc w:val="center"/>
        </w:trPr>
        <w:tc>
          <w:tcPr>
            <w:tcW w:w="2959" w:type="dxa"/>
            <w:tcBorders>
              <w:top w:val="nil"/>
              <w:left w:val="nil"/>
              <w:bottom w:val="dotted" w:sz="4" w:space="0" w:color="auto"/>
              <w:right w:val="nil"/>
            </w:tcBorders>
            <w:tcMar>
              <w:top w:w="72" w:type="dxa"/>
              <w:left w:w="115" w:type="dxa"/>
              <w:bottom w:w="72" w:type="dxa"/>
              <w:right w:w="115" w:type="dxa"/>
            </w:tcMar>
          </w:tcPr>
          <w:p w14:paraId="2BBA021E" w14:textId="77777777" w:rsidR="00434918" w:rsidRPr="00502C56" w:rsidRDefault="00434918" w:rsidP="00227787">
            <w:pPr>
              <w:rPr>
                <w:rFonts w:ascii="Arial" w:hAnsi="Arial" w:cs="Arial"/>
                <w:b/>
                <w:sz w:val="22"/>
                <w:szCs w:val="22"/>
              </w:rPr>
            </w:pPr>
            <w:r w:rsidRPr="00502C56">
              <w:rPr>
                <w:rFonts w:ascii="Arial" w:hAnsi="Arial" w:cs="Arial"/>
                <w:b/>
                <w:sz w:val="22"/>
                <w:szCs w:val="22"/>
              </w:rPr>
              <w:t>Expenditures</w:t>
            </w:r>
          </w:p>
        </w:tc>
        <w:tc>
          <w:tcPr>
            <w:tcW w:w="180" w:type="dxa"/>
            <w:tcBorders>
              <w:top w:val="nil"/>
              <w:left w:val="nil"/>
              <w:bottom w:val="dotted" w:sz="4" w:space="0" w:color="auto"/>
              <w:right w:val="nil"/>
            </w:tcBorders>
          </w:tcPr>
          <w:p w14:paraId="19F002C8" w14:textId="77777777" w:rsidR="00434918" w:rsidRPr="00502C56" w:rsidRDefault="00434918" w:rsidP="00227787">
            <w:pPr>
              <w:jc w:val="right"/>
              <w:rPr>
                <w:rFonts w:ascii="Arial" w:hAnsi="Arial" w:cs="Arial"/>
                <w:sz w:val="22"/>
                <w:szCs w:val="22"/>
              </w:rPr>
            </w:pPr>
          </w:p>
        </w:tc>
        <w:tc>
          <w:tcPr>
            <w:tcW w:w="1516" w:type="dxa"/>
            <w:tcBorders>
              <w:top w:val="nil"/>
              <w:left w:val="nil"/>
              <w:bottom w:val="dotted" w:sz="4" w:space="0" w:color="auto"/>
              <w:right w:val="nil"/>
            </w:tcBorders>
          </w:tcPr>
          <w:p w14:paraId="27A769E1" w14:textId="77777777" w:rsidR="00434918" w:rsidRPr="00B809AF" w:rsidRDefault="00434918" w:rsidP="00227787">
            <w:pPr>
              <w:jc w:val="center"/>
              <w:rPr>
                <w:rFonts w:ascii="Arial" w:hAnsi="Arial" w:cs="Arial"/>
                <w:sz w:val="22"/>
                <w:szCs w:val="22"/>
              </w:rPr>
            </w:pPr>
            <w:r w:rsidRPr="00B809AF">
              <w:rPr>
                <w:rFonts w:ascii="Arial" w:hAnsi="Arial" w:cs="Arial"/>
                <w:sz w:val="22"/>
                <w:szCs w:val="22"/>
              </w:rPr>
              <w:t>--</w:t>
            </w:r>
          </w:p>
        </w:tc>
        <w:tc>
          <w:tcPr>
            <w:tcW w:w="164" w:type="dxa"/>
            <w:tcBorders>
              <w:top w:val="nil"/>
              <w:left w:val="nil"/>
              <w:bottom w:val="dotted" w:sz="4" w:space="0" w:color="auto"/>
              <w:right w:val="nil"/>
            </w:tcBorders>
          </w:tcPr>
          <w:p w14:paraId="5C95B18E" w14:textId="77777777" w:rsidR="00434918" w:rsidRPr="00B868C1" w:rsidRDefault="00434918" w:rsidP="00227787">
            <w:pPr>
              <w:jc w:val="right"/>
              <w:rPr>
                <w:rFonts w:ascii="Arial" w:hAnsi="Arial" w:cs="Arial"/>
                <w:sz w:val="22"/>
                <w:szCs w:val="22"/>
                <w:highlight w:val="yellow"/>
              </w:rPr>
            </w:pPr>
          </w:p>
        </w:tc>
        <w:tc>
          <w:tcPr>
            <w:tcW w:w="1637" w:type="dxa"/>
            <w:tcBorders>
              <w:top w:val="nil"/>
              <w:left w:val="nil"/>
              <w:bottom w:val="dotted" w:sz="4" w:space="0" w:color="auto"/>
              <w:right w:val="nil"/>
            </w:tcBorders>
            <w:tcMar>
              <w:top w:w="72" w:type="dxa"/>
              <w:bottom w:w="72" w:type="dxa"/>
            </w:tcMar>
          </w:tcPr>
          <w:p w14:paraId="75C98619" w14:textId="77777777" w:rsidR="00434918" w:rsidRPr="00B809AF" w:rsidRDefault="00434918" w:rsidP="00227787">
            <w:pPr>
              <w:jc w:val="center"/>
              <w:rPr>
                <w:rFonts w:ascii="Arial" w:hAnsi="Arial" w:cs="Arial"/>
                <w:sz w:val="22"/>
                <w:szCs w:val="22"/>
              </w:rPr>
            </w:pPr>
            <w:r w:rsidRPr="00B809AF">
              <w:rPr>
                <w:rFonts w:ascii="Arial" w:hAnsi="Arial" w:cs="Arial"/>
                <w:sz w:val="22"/>
                <w:szCs w:val="22"/>
              </w:rPr>
              <w:t>--</w:t>
            </w:r>
          </w:p>
        </w:tc>
        <w:tc>
          <w:tcPr>
            <w:tcW w:w="164" w:type="dxa"/>
            <w:tcBorders>
              <w:top w:val="nil"/>
              <w:left w:val="nil"/>
              <w:bottom w:val="dotted" w:sz="4" w:space="0" w:color="auto"/>
              <w:right w:val="nil"/>
            </w:tcBorders>
          </w:tcPr>
          <w:p w14:paraId="4F2A7467" w14:textId="77777777" w:rsidR="00434918" w:rsidRPr="00B868C1" w:rsidRDefault="00434918" w:rsidP="00227787">
            <w:pPr>
              <w:jc w:val="right"/>
              <w:rPr>
                <w:rFonts w:ascii="Arial" w:hAnsi="Arial" w:cs="Arial"/>
                <w:sz w:val="22"/>
                <w:szCs w:val="22"/>
                <w:highlight w:val="yellow"/>
              </w:rPr>
            </w:pPr>
          </w:p>
        </w:tc>
        <w:tc>
          <w:tcPr>
            <w:tcW w:w="1637" w:type="dxa"/>
            <w:tcBorders>
              <w:top w:val="nil"/>
              <w:left w:val="nil"/>
              <w:bottom w:val="dotted" w:sz="4" w:space="0" w:color="auto"/>
              <w:right w:val="nil"/>
            </w:tcBorders>
            <w:tcMar>
              <w:top w:w="72" w:type="dxa"/>
              <w:bottom w:w="72" w:type="dxa"/>
            </w:tcMar>
          </w:tcPr>
          <w:p w14:paraId="2AC06F0F" w14:textId="77777777" w:rsidR="00434918" w:rsidRPr="00FA7DF3" w:rsidRDefault="00434918" w:rsidP="00227787">
            <w:pPr>
              <w:jc w:val="center"/>
              <w:rPr>
                <w:rFonts w:ascii="Arial" w:hAnsi="Arial" w:cs="Arial"/>
                <w:sz w:val="22"/>
                <w:szCs w:val="22"/>
              </w:rPr>
            </w:pPr>
            <w:r w:rsidRPr="00FA7DF3">
              <w:rPr>
                <w:rFonts w:ascii="Arial" w:hAnsi="Arial" w:cs="Arial"/>
                <w:sz w:val="22"/>
                <w:szCs w:val="22"/>
              </w:rPr>
              <w:t>--</w:t>
            </w:r>
          </w:p>
        </w:tc>
      </w:tr>
      <w:tr w:rsidR="00434918" w:rsidRPr="00502C56" w14:paraId="75D872C1" w14:textId="77777777" w:rsidTr="00227787">
        <w:trPr>
          <w:cantSplit/>
          <w:trHeight w:val="485"/>
          <w:jc w:val="center"/>
        </w:trPr>
        <w:tc>
          <w:tcPr>
            <w:tcW w:w="8257" w:type="dxa"/>
            <w:gridSpan w:val="7"/>
            <w:tcBorders>
              <w:top w:val="dotted" w:sz="4" w:space="0" w:color="auto"/>
              <w:left w:val="nil"/>
              <w:bottom w:val="single" w:sz="12" w:space="0" w:color="auto"/>
              <w:right w:val="single" w:sz="2" w:space="0" w:color="FFFFFF" w:themeColor="background1"/>
            </w:tcBorders>
            <w:tcMar>
              <w:top w:w="72" w:type="dxa"/>
              <w:left w:w="115" w:type="dxa"/>
              <w:bottom w:w="72" w:type="dxa"/>
              <w:right w:w="115" w:type="dxa"/>
            </w:tcMar>
            <w:vAlign w:val="center"/>
          </w:tcPr>
          <w:p w14:paraId="1C6BFD13" w14:textId="34632D48" w:rsidR="00434918" w:rsidRPr="00502C56" w:rsidRDefault="00434918" w:rsidP="00227787">
            <w:pPr>
              <w:rPr>
                <w:rFonts w:ascii="Arial" w:hAnsi="Arial" w:cs="Arial"/>
                <w:sz w:val="22"/>
                <w:szCs w:val="22"/>
              </w:rPr>
            </w:pPr>
            <w:r w:rsidRPr="00502C56">
              <w:rPr>
                <w:rFonts w:ascii="Arial" w:hAnsi="Arial" w:cs="Arial"/>
                <w:b/>
                <w:sz w:val="22"/>
                <w:szCs w:val="22"/>
              </w:rPr>
              <w:t>Major Revenue Sources:</w:t>
            </w:r>
            <w:r w:rsidRPr="00502C56">
              <w:rPr>
                <w:rFonts w:ascii="Arial" w:hAnsi="Arial" w:cs="Arial"/>
                <w:sz w:val="22"/>
                <w:szCs w:val="22"/>
              </w:rPr>
              <w:t xml:space="preserve"> Sales tax, interest</w:t>
            </w:r>
          </w:p>
        </w:tc>
      </w:tr>
    </w:tbl>
    <w:p w14:paraId="0BB74071" w14:textId="5B58DAB1" w:rsidR="00434918" w:rsidRPr="00502C56" w:rsidRDefault="00434918" w:rsidP="00434918">
      <w:pPr>
        <w:spacing w:line="264" w:lineRule="auto"/>
        <w:contextualSpacing/>
        <w:rPr>
          <w:rFonts w:ascii="Arial" w:hAnsi="Arial" w:cs="Arial"/>
          <w:b/>
          <w:smallCaps/>
          <w:szCs w:val="24"/>
          <w:u w:val="single"/>
        </w:rPr>
      </w:pPr>
    </w:p>
    <w:p w14:paraId="102FD8F0" w14:textId="42F05827" w:rsidR="00434918" w:rsidRPr="00502C56" w:rsidRDefault="00434918" w:rsidP="00434918">
      <w:pPr>
        <w:spacing w:after="120" w:line="264" w:lineRule="auto"/>
        <w:jc w:val="center"/>
        <w:rPr>
          <w:rFonts w:ascii="Arial Bold" w:hAnsi="Arial Bold" w:cs="Arial"/>
          <w:b/>
          <w:szCs w:val="24"/>
        </w:rPr>
      </w:pPr>
      <w:r w:rsidRPr="00502C56">
        <w:rPr>
          <w:rFonts w:ascii="Arial Bold" w:hAnsi="Arial Bold" w:cs="Arial"/>
          <w:b/>
          <w:szCs w:val="24"/>
        </w:rPr>
        <w:t>Debt Service (Bond) Fund (8430)</w:t>
      </w:r>
    </w:p>
    <w:tbl>
      <w:tblPr>
        <w:tblStyle w:val="TableGrid"/>
        <w:tblW w:w="8257" w:type="dxa"/>
        <w:jc w:val="center"/>
        <w:tblCellMar>
          <w:left w:w="72" w:type="dxa"/>
          <w:right w:w="72" w:type="dxa"/>
        </w:tblCellMar>
        <w:tblLook w:val="04A0" w:firstRow="1" w:lastRow="0" w:firstColumn="1" w:lastColumn="0" w:noHBand="0" w:noVBand="1"/>
      </w:tblPr>
      <w:tblGrid>
        <w:gridCol w:w="2959"/>
        <w:gridCol w:w="180"/>
        <w:gridCol w:w="1516"/>
        <w:gridCol w:w="164"/>
        <w:gridCol w:w="1637"/>
        <w:gridCol w:w="164"/>
        <w:gridCol w:w="1637"/>
      </w:tblGrid>
      <w:tr w:rsidR="00B868C1" w:rsidRPr="00502C56" w14:paraId="72128D68" w14:textId="77777777" w:rsidTr="00227787">
        <w:trPr>
          <w:cantSplit/>
          <w:trHeight w:val="411"/>
          <w:tblHeader/>
          <w:jc w:val="center"/>
        </w:trPr>
        <w:tc>
          <w:tcPr>
            <w:tcW w:w="2959" w:type="dxa"/>
            <w:tcBorders>
              <w:top w:val="single" w:sz="12" w:space="0" w:color="auto"/>
              <w:left w:val="nil"/>
              <w:bottom w:val="single" w:sz="4" w:space="0" w:color="auto"/>
              <w:right w:val="nil"/>
            </w:tcBorders>
            <w:shd w:val="clear" w:color="auto" w:fill="auto"/>
            <w:vAlign w:val="center"/>
          </w:tcPr>
          <w:p w14:paraId="16A23745" w14:textId="77777777" w:rsidR="00B868C1" w:rsidRPr="00502C56" w:rsidRDefault="00B868C1" w:rsidP="00B868C1">
            <w:pPr>
              <w:rPr>
                <w:rFonts w:ascii="Arial" w:hAnsi="Arial" w:cs="Arial"/>
                <w:b/>
                <w:sz w:val="22"/>
                <w:szCs w:val="22"/>
              </w:rPr>
            </w:pPr>
          </w:p>
        </w:tc>
        <w:tc>
          <w:tcPr>
            <w:tcW w:w="180" w:type="dxa"/>
            <w:tcBorders>
              <w:top w:val="single" w:sz="12" w:space="0" w:color="auto"/>
              <w:left w:val="nil"/>
              <w:bottom w:val="nil"/>
              <w:right w:val="nil"/>
            </w:tcBorders>
          </w:tcPr>
          <w:p w14:paraId="682F21DD" w14:textId="77777777" w:rsidR="00B868C1" w:rsidRPr="00502C56" w:rsidRDefault="00B868C1" w:rsidP="00B868C1">
            <w:pPr>
              <w:rPr>
                <w:rFonts w:ascii="Arial" w:hAnsi="Arial" w:cs="Arial"/>
                <w:b/>
                <w:sz w:val="22"/>
                <w:szCs w:val="22"/>
              </w:rPr>
            </w:pPr>
          </w:p>
        </w:tc>
        <w:tc>
          <w:tcPr>
            <w:tcW w:w="1516" w:type="dxa"/>
            <w:tcBorders>
              <w:top w:val="single" w:sz="12" w:space="0" w:color="auto"/>
              <w:left w:val="nil"/>
              <w:bottom w:val="nil"/>
              <w:right w:val="nil"/>
            </w:tcBorders>
            <w:vAlign w:val="center"/>
          </w:tcPr>
          <w:p w14:paraId="73330648" w14:textId="4A530A97" w:rsidR="00B868C1" w:rsidRPr="00502C56" w:rsidRDefault="00B868C1" w:rsidP="00B868C1">
            <w:pPr>
              <w:jc w:val="center"/>
              <w:rPr>
                <w:rFonts w:ascii="Arial" w:hAnsi="Arial" w:cs="Arial"/>
                <w:b/>
                <w:sz w:val="22"/>
                <w:szCs w:val="22"/>
              </w:rPr>
            </w:pPr>
            <w:r>
              <w:rPr>
                <w:rFonts w:ascii="Arial" w:hAnsi="Arial" w:cs="Arial"/>
                <w:b/>
                <w:sz w:val="22"/>
                <w:szCs w:val="22"/>
              </w:rPr>
              <w:t>2023-2024 Proposed</w:t>
            </w:r>
          </w:p>
        </w:tc>
        <w:tc>
          <w:tcPr>
            <w:tcW w:w="164" w:type="dxa"/>
            <w:tcBorders>
              <w:top w:val="single" w:sz="12" w:space="0" w:color="auto"/>
              <w:left w:val="nil"/>
              <w:bottom w:val="nil"/>
              <w:right w:val="nil"/>
            </w:tcBorders>
          </w:tcPr>
          <w:p w14:paraId="0784E0AF" w14:textId="77777777" w:rsidR="00B868C1" w:rsidRPr="00502C56" w:rsidRDefault="00B868C1" w:rsidP="00B868C1">
            <w:pPr>
              <w:rPr>
                <w:rFonts w:ascii="Arial" w:hAnsi="Arial" w:cs="Arial"/>
                <w:b/>
                <w:sz w:val="22"/>
                <w:szCs w:val="22"/>
              </w:rPr>
            </w:pPr>
          </w:p>
        </w:tc>
        <w:tc>
          <w:tcPr>
            <w:tcW w:w="1637" w:type="dxa"/>
            <w:tcBorders>
              <w:top w:val="single" w:sz="12" w:space="0" w:color="auto"/>
              <w:left w:val="nil"/>
              <w:bottom w:val="single" w:sz="2" w:space="0" w:color="auto"/>
              <w:right w:val="nil"/>
            </w:tcBorders>
            <w:shd w:val="clear" w:color="auto" w:fill="auto"/>
            <w:vAlign w:val="center"/>
          </w:tcPr>
          <w:p w14:paraId="0FAC5C0A" w14:textId="5DD226C5" w:rsidR="00B868C1" w:rsidRPr="00502C56" w:rsidRDefault="00B868C1" w:rsidP="00B868C1">
            <w:pPr>
              <w:jc w:val="center"/>
              <w:rPr>
                <w:rFonts w:ascii="Arial" w:hAnsi="Arial" w:cs="Arial"/>
                <w:b/>
                <w:sz w:val="22"/>
                <w:szCs w:val="22"/>
              </w:rPr>
            </w:pPr>
            <w:r>
              <w:rPr>
                <w:rFonts w:ascii="Arial" w:hAnsi="Arial" w:cs="Arial"/>
                <w:b/>
                <w:sz w:val="22"/>
                <w:szCs w:val="22"/>
              </w:rPr>
              <w:t>2025-2026 Projected</w:t>
            </w:r>
          </w:p>
        </w:tc>
        <w:tc>
          <w:tcPr>
            <w:tcW w:w="164" w:type="dxa"/>
            <w:tcBorders>
              <w:top w:val="single" w:sz="12" w:space="0" w:color="auto"/>
              <w:left w:val="nil"/>
              <w:bottom w:val="nil"/>
              <w:right w:val="nil"/>
            </w:tcBorders>
          </w:tcPr>
          <w:p w14:paraId="6253A387" w14:textId="77777777" w:rsidR="00B868C1" w:rsidRPr="00502C56" w:rsidRDefault="00B868C1" w:rsidP="00B868C1">
            <w:pPr>
              <w:rPr>
                <w:rFonts w:ascii="Arial" w:hAnsi="Arial" w:cs="Arial"/>
                <w:b/>
                <w:sz w:val="22"/>
                <w:szCs w:val="22"/>
              </w:rPr>
            </w:pPr>
          </w:p>
        </w:tc>
        <w:tc>
          <w:tcPr>
            <w:tcW w:w="1637" w:type="dxa"/>
            <w:tcBorders>
              <w:top w:val="single" w:sz="12" w:space="0" w:color="auto"/>
              <w:left w:val="nil"/>
              <w:bottom w:val="single" w:sz="2" w:space="0" w:color="auto"/>
              <w:right w:val="nil"/>
            </w:tcBorders>
            <w:vAlign w:val="center"/>
          </w:tcPr>
          <w:p w14:paraId="3DB55F37" w14:textId="65BF6816" w:rsidR="00B868C1" w:rsidRPr="00502C56" w:rsidRDefault="00B868C1" w:rsidP="00B868C1">
            <w:pPr>
              <w:jc w:val="center"/>
              <w:rPr>
                <w:rFonts w:ascii="Arial" w:hAnsi="Arial" w:cs="Arial"/>
                <w:b/>
                <w:sz w:val="22"/>
                <w:szCs w:val="22"/>
              </w:rPr>
            </w:pPr>
            <w:r>
              <w:rPr>
                <w:rFonts w:ascii="Arial" w:hAnsi="Arial" w:cs="Arial"/>
                <w:b/>
                <w:sz w:val="22"/>
                <w:szCs w:val="22"/>
              </w:rPr>
              <w:t>2027-2028 Projected</w:t>
            </w:r>
          </w:p>
        </w:tc>
      </w:tr>
      <w:tr w:rsidR="00434918" w:rsidRPr="00502C56" w14:paraId="118164D7" w14:textId="77777777" w:rsidTr="00227787">
        <w:trPr>
          <w:cantSplit/>
          <w:jc w:val="center"/>
        </w:trPr>
        <w:tc>
          <w:tcPr>
            <w:tcW w:w="2959" w:type="dxa"/>
            <w:tcBorders>
              <w:left w:val="nil"/>
              <w:bottom w:val="nil"/>
              <w:right w:val="nil"/>
            </w:tcBorders>
            <w:tcMar>
              <w:top w:w="72" w:type="dxa"/>
              <w:left w:w="115" w:type="dxa"/>
              <w:bottom w:w="72" w:type="dxa"/>
              <w:right w:w="115" w:type="dxa"/>
            </w:tcMar>
          </w:tcPr>
          <w:p w14:paraId="4CC7B31C" w14:textId="77777777" w:rsidR="00434918" w:rsidRPr="00502C56" w:rsidRDefault="00434918" w:rsidP="00227787">
            <w:pPr>
              <w:rPr>
                <w:rFonts w:ascii="Arial" w:hAnsi="Arial" w:cs="Arial"/>
                <w:b/>
                <w:sz w:val="22"/>
                <w:szCs w:val="22"/>
              </w:rPr>
            </w:pPr>
            <w:r w:rsidRPr="00502C56">
              <w:rPr>
                <w:rFonts w:ascii="Arial" w:hAnsi="Arial" w:cs="Arial"/>
                <w:b/>
                <w:sz w:val="22"/>
                <w:szCs w:val="22"/>
              </w:rPr>
              <w:t>Revenues</w:t>
            </w:r>
          </w:p>
        </w:tc>
        <w:tc>
          <w:tcPr>
            <w:tcW w:w="180" w:type="dxa"/>
            <w:tcBorders>
              <w:top w:val="nil"/>
              <w:left w:val="nil"/>
              <w:bottom w:val="nil"/>
              <w:right w:val="nil"/>
            </w:tcBorders>
          </w:tcPr>
          <w:p w14:paraId="242F1B68" w14:textId="77777777" w:rsidR="00434918" w:rsidRPr="00502C56" w:rsidRDefault="00434918" w:rsidP="00227787">
            <w:pPr>
              <w:jc w:val="right"/>
              <w:rPr>
                <w:rFonts w:ascii="Arial" w:hAnsi="Arial" w:cs="Arial"/>
                <w:sz w:val="22"/>
                <w:szCs w:val="22"/>
              </w:rPr>
            </w:pPr>
          </w:p>
        </w:tc>
        <w:tc>
          <w:tcPr>
            <w:tcW w:w="1516" w:type="dxa"/>
            <w:tcBorders>
              <w:left w:val="nil"/>
              <w:bottom w:val="nil"/>
              <w:right w:val="nil"/>
            </w:tcBorders>
          </w:tcPr>
          <w:p w14:paraId="3E3B1D47" w14:textId="5A375624" w:rsidR="00434918" w:rsidRPr="00B868C1" w:rsidRDefault="00434918" w:rsidP="00227787">
            <w:pPr>
              <w:jc w:val="right"/>
              <w:rPr>
                <w:rFonts w:ascii="Arial" w:hAnsi="Arial" w:cs="Arial"/>
                <w:sz w:val="22"/>
                <w:szCs w:val="22"/>
                <w:highlight w:val="yellow"/>
              </w:rPr>
            </w:pPr>
            <w:r w:rsidRPr="000355A4">
              <w:rPr>
                <w:rFonts w:ascii="Arial" w:hAnsi="Arial" w:cs="Arial"/>
                <w:sz w:val="22"/>
                <w:szCs w:val="22"/>
              </w:rPr>
              <w:t>$</w:t>
            </w:r>
            <w:r w:rsidR="000355A4" w:rsidRPr="000355A4">
              <w:rPr>
                <w:rFonts w:ascii="Arial" w:hAnsi="Arial" w:cs="Arial"/>
                <w:sz w:val="22"/>
                <w:szCs w:val="22"/>
              </w:rPr>
              <w:t>19,137,198</w:t>
            </w:r>
          </w:p>
        </w:tc>
        <w:tc>
          <w:tcPr>
            <w:tcW w:w="164" w:type="dxa"/>
            <w:tcBorders>
              <w:top w:val="nil"/>
              <w:left w:val="nil"/>
              <w:bottom w:val="nil"/>
              <w:right w:val="nil"/>
            </w:tcBorders>
          </w:tcPr>
          <w:p w14:paraId="7CDF04FB" w14:textId="77777777" w:rsidR="00434918" w:rsidRPr="00B868C1" w:rsidRDefault="00434918" w:rsidP="00227787">
            <w:pPr>
              <w:jc w:val="right"/>
              <w:rPr>
                <w:rFonts w:ascii="Arial" w:hAnsi="Arial" w:cs="Arial"/>
                <w:sz w:val="22"/>
                <w:szCs w:val="22"/>
                <w:highlight w:val="yellow"/>
              </w:rPr>
            </w:pPr>
          </w:p>
        </w:tc>
        <w:tc>
          <w:tcPr>
            <w:tcW w:w="1637" w:type="dxa"/>
            <w:tcBorders>
              <w:top w:val="single" w:sz="2" w:space="0" w:color="auto"/>
              <w:left w:val="nil"/>
              <w:bottom w:val="nil"/>
              <w:right w:val="nil"/>
            </w:tcBorders>
            <w:tcMar>
              <w:top w:w="72" w:type="dxa"/>
              <w:bottom w:w="72" w:type="dxa"/>
            </w:tcMar>
          </w:tcPr>
          <w:p w14:paraId="12CF095F" w14:textId="27AB34E2" w:rsidR="00434918" w:rsidRPr="00E419DA" w:rsidRDefault="00434918" w:rsidP="00227787">
            <w:pPr>
              <w:jc w:val="right"/>
              <w:rPr>
                <w:rFonts w:ascii="Arial" w:hAnsi="Arial" w:cs="Arial"/>
                <w:sz w:val="22"/>
                <w:szCs w:val="22"/>
              </w:rPr>
            </w:pPr>
            <w:r w:rsidRPr="00E419DA">
              <w:rPr>
                <w:rFonts w:ascii="Arial" w:hAnsi="Arial" w:cs="Arial"/>
                <w:sz w:val="22"/>
                <w:szCs w:val="22"/>
              </w:rPr>
              <w:t>$</w:t>
            </w:r>
            <w:r w:rsidR="00E419DA" w:rsidRPr="00E419DA">
              <w:rPr>
                <w:rFonts w:ascii="Arial" w:hAnsi="Arial" w:cs="Arial"/>
                <w:sz w:val="22"/>
                <w:szCs w:val="22"/>
              </w:rPr>
              <w:t>20,952,097</w:t>
            </w:r>
          </w:p>
        </w:tc>
        <w:tc>
          <w:tcPr>
            <w:tcW w:w="164" w:type="dxa"/>
            <w:tcBorders>
              <w:top w:val="nil"/>
              <w:left w:val="nil"/>
              <w:bottom w:val="nil"/>
              <w:right w:val="nil"/>
            </w:tcBorders>
          </w:tcPr>
          <w:p w14:paraId="2BA7427A" w14:textId="77777777" w:rsidR="00434918" w:rsidRPr="00B868C1" w:rsidRDefault="00434918" w:rsidP="00227787">
            <w:pPr>
              <w:jc w:val="right"/>
              <w:rPr>
                <w:rFonts w:ascii="Arial" w:hAnsi="Arial" w:cs="Arial"/>
                <w:sz w:val="22"/>
                <w:szCs w:val="22"/>
                <w:highlight w:val="yellow"/>
              </w:rPr>
            </w:pPr>
          </w:p>
        </w:tc>
        <w:tc>
          <w:tcPr>
            <w:tcW w:w="1637" w:type="dxa"/>
            <w:tcBorders>
              <w:top w:val="single" w:sz="2" w:space="0" w:color="auto"/>
              <w:left w:val="nil"/>
              <w:bottom w:val="nil"/>
              <w:right w:val="nil"/>
            </w:tcBorders>
            <w:tcMar>
              <w:top w:w="72" w:type="dxa"/>
              <w:bottom w:w="72" w:type="dxa"/>
            </w:tcMar>
          </w:tcPr>
          <w:p w14:paraId="4AAE084E" w14:textId="64D768EB" w:rsidR="00434918" w:rsidRPr="00401A4D" w:rsidRDefault="00434918" w:rsidP="00227787">
            <w:pPr>
              <w:jc w:val="right"/>
              <w:rPr>
                <w:rFonts w:ascii="Arial" w:hAnsi="Arial" w:cs="Arial"/>
                <w:sz w:val="22"/>
                <w:szCs w:val="22"/>
              </w:rPr>
            </w:pPr>
            <w:r w:rsidRPr="00401A4D">
              <w:rPr>
                <w:rFonts w:ascii="Arial" w:hAnsi="Arial" w:cs="Arial"/>
                <w:sz w:val="22"/>
                <w:szCs w:val="22"/>
              </w:rPr>
              <w:t>$</w:t>
            </w:r>
            <w:r w:rsidR="00401A4D" w:rsidRPr="00401A4D">
              <w:rPr>
                <w:rFonts w:ascii="Arial" w:hAnsi="Arial" w:cs="Arial"/>
                <w:sz w:val="22"/>
                <w:szCs w:val="22"/>
              </w:rPr>
              <w:t>74,068,009</w:t>
            </w:r>
          </w:p>
        </w:tc>
      </w:tr>
      <w:tr w:rsidR="00434918" w:rsidRPr="00502C56" w14:paraId="5CD6C2B6" w14:textId="77777777" w:rsidTr="00227787">
        <w:trPr>
          <w:cantSplit/>
          <w:trHeight w:val="216"/>
          <w:jc w:val="center"/>
        </w:trPr>
        <w:tc>
          <w:tcPr>
            <w:tcW w:w="2959" w:type="dxa"/>
            <w:tcBorders>
              <w:top w:val="nil"/>
              <w:left w:val="nil"/>
              <w:bottom w:val="dotted" w:sz="4" w:space="0" w:color="auto"/>
              <w:right w:val="nil"/>
            </w:tcBorders>
            <w:tcMar>
              <w:top w:w="72" w:type="dxa"/>
              <w:left w:w="115" w:type="dxa"/>
              <w:bottom w:w="72" w:type="dxa"/>
              <w:right w:w="115" w:type="dxa"/>
            </w:tcMar>
          </w:tcPr>
          <w:p w14:paraId="2C06510B" w14:textId="77777777" w:rsidR="00434918" w:rsidRPr="00502C56" w:rsidRDefault="00434918" w:rsidP="00227787">
            <w:pPr>
              <w:rPr>
                <w:rFonts w:ascii="Arial" w:hAnsi="Arial" w:cs="Arial"/>
                <w:b/>
                <w:sz w:val="22"/>
                <w:szCs w:val="22"/>
              </w:rPr>
            </w:pPr>
            <w:r w:rsidRPr="00502C56">
              <w:rPr>
                <w:rFonts w:ascii="Arial" w:hAnsi="Arial" w:cs="Arial"/>
                <w:b/>
                <w:sz w:val="22"/>
                <w:szCs w:val="22"/>
              </w:rPr>
              <w:t>Expenditures</w:t>
            </w:r>
          </w:p>
        </w:tc>
        <w:tc>
          <w:tcPr>
            <w:tcW w:w="180" w:type="dxa"/>
            <w:tcBorders>
              <w:top w:val="nil"/>
              <w:left w:val="nil"/>
              <w:bottom w:val="dotted" w:sz="4" w:space="0" w:color="auto"/>
              <w:right w:val="nil"/>
            </w:tcBorders>
          </w:tcPr>
          <w:p w14:paraId="095FCAAC" w14:textId="77777777" w:rsidR="00434918" w:rsidRPr="00502C56" w:rsidRDefault="00434918" w:rsidP="00227787">
            <w:pPr>
              <w:jc w:val="right"/>
              <w:rPr>
                <w:rFonts w:ascii="Arial" w:hAnsi="Arial" w:cs="Arial"/>
                <w:sz w:val="22"/>
                <w:szCs w:val="22"/>
              </w:rPr>
            </w:pPr>
          </w:p>
        </w:tc>
        <w:tc>
          <w:tcPr>
            <w:tcW w:w="1516" w:type="dxa"/>
            <w:tcBorders>
              <w:top w:val="nil"/>
              <w:left w:val="nil"/>
              <w:bottom w:val="dotted" w:sz="4" w:space="0" w:color="auto"/>
              <w:right w:val="nil"/>
            </w:tcBorders>
          </w:tcPr>
          <w:p w14:paraId="3AEEDA63" w14:textId="621BDC8B" w:rsidR="00434918" w:rsidRPr="00B868C1" w:rsidRDefault="00434918" w:rsidP="00227787">
            <w:pPr>
              <w:jc w:val="right"/>
              <w:rPr>
                <w:rFonts w:ascii="Arial" w:hAnsi="Arial" w:cs="Arial"/>
                <w:sz w:val="22"/>
                <w:szCs w:val="22"/>
                <w:highlight w:val="yellow"/>
              </w:rPr>
            </w:pPr>
            <w:r w:rsidRPr="00E419DA">
              <w:rPr>
                <w:rFonts w:ascii="Arial" w:hAnsi="Arial" w:cs="Arial"/>
                <w:sz w:val="22"/>
                <w:szCs w:val="22"/>
              </w:rPr>
              <w:t>$</w:t>
            </w:r>
            <w:r w:rsidR="00E419DA" w:rsidRPr="00E419DA">
              <w:rPr>
                <w:rFonts w:ascii="Arial" w:hAnsi="Arial" w:cs="Arial"/>
                <w:sz w:val="22"/>
                <w:szCs w:val="22"/>
              </w:rPr>
              <w:t>13,283,052</w:t>
            </w:r>
          </w:p>
        </w:tc>
        <w:tc>
          <w:tcPr>
            <w:tcW w:w="164" w:type="dxa"/>
            <w:tcBorders>
              <w:top w:val="nil"/>
              <w:left w:val="nil"/>
              <w:bottom w:val="dotted" w:sz="4" w:space="0" w:color="auto"/>
              <w:right w:val="nil"/>
            </w:tcBorders>
          </w:tcPr>
          <w:p w14:paraId="783CE0C0" w14:textId="77777777" w:rsidR="00434918" w:rsidRPr="00B868C1" w:rsidRDefault="00434918" w:rsidP="00227787">
            <w:pPr>
              <w:jc w:val="right"/>
              <w:rPr>
                <w:rFonts w:ascii="Arial" w:hAnsi="Arial" w:cs="Arial"/>
                <w:sz w:val="22"/>
                <w:szCs w:val="22"/>
                <w:highlight w:val="yellow"/>
              </w:rPr>
            </w:pPr>
          </w:p>
        </w:tc>
        <w:tc>
          <w:tcPr>
            <w:tcW w:w="1637" w:type="dxa"/>
            <w:tcBorders>
              <w:top w:val="nil"/>
              <w:left w:val="nil"/>
              <w:bottom w:val="dotted" w:sz="4" w:space="0" w:color="auto"/>
              <w:right w:val="nil"/>
            </w:tcBorders>
            <w:tcMar>
              <w:top w:w="72" w:type="dxa"/>
              <w:bottom w:w="72" w:type="dxa"/>
            </w:tcMar>
          </w:tcPr>
          <w:p w14:paraId="52872F51" w14:textId="167DBC5D" w:rsidR="00434918" w:rsidRPr="00B868C1" w:rsidRDefault="00434918" w:rsidP="00227787">
            <w:pPr>
              <w:jc w:val="right"/>
              <w:rPr>
                <w:rFonts w:ascii="Arial" w:hAnsi="Arial" w:cs="Arial"/>
                <w:sz w:val="22"/>
                <w:szCs w:val="22"/>
                <w:highlight w:val="yellow"/>
              </w:rPr>
            </w:pPr>
            <w:r w:rsidRPr="00D63011">
              <w:rPr>
                <w:rFonts w:ascii="Arial" w:hAnsi="Arial" w:cs="Arial"/>
                <w:sz w:val="22"/>
                <w:szCs w:val="22"/>
              </w:rPr>
              <w:t>$</w:t>
            </w:r>
            <w:r w:rsidR="00D63011" w:rsidRPr="00D63011">
              <w:rPr>
                <w:rFonts w:ascii="Arial" w:hAnsi="Arial" w:cs="Arial"/>
                <w:sz w:val="22"/>
                <w:szCs w:val="22"/>
              </w:rPr>
              <w:t>22,663,176</w:t>
            </w:r>
          </w:p>
        </w:tc>
        <w:tc>
          <w:tcPr>
            <w:tcW w:w="164" w:type="dxa"/>
            <w:tcBorders>
              <w:top w:val="nil"/>
              <w:left w:val="nil"/>
              <w:bottom w:val="dotted" w:sz="4" w:space="0" w:color="auto"/>
              <w:right w:val="nil"/>
            </w:tcBorders>
          </w:tcPr>
          <w:p w14:paraId="272F2326" w14:textId="77777777" w:rsidR="00434918" w:rsidRPr="00B868C1" w:rsidRDefault="00434918" w:rsidP="00227787">
            <w:pPr>
              <w:jc w:val="right"/>
              <w:rPr>
                <w:rFonts w:ascii="Arial" w:hAnsi="Arial" w:cs="Arial"/>
                <w:sz w:val="22"/>
                <w:szCs w:val="22"/>
                <w:highlight w:val="yellow"/>
              </w:rPr>
            </w:pPr>
          </w:p>
        </w:tc>
        <w:tc>
          <w:tcPr>
            <w:tcW w:w="1637" w:type="dxa"/>
            <w:tcBorders>
              <w:top w:val="nil"/>
              <w:left w:val="nil"/>
              <w:bottom w:val="dotted" w:sz="4" w:space="0" w:color="auto"/>
              <w:right w:val="nil"/>
            </w:tcBorders>
            <w:tcMar>
              <w:top w:w="72" w:type="dxa"/>
              <w:bottom w:w="72" w:type="dxa"/>
            </w:tcMar>
          </w:tcPr>
          <w:p w14:paraId="566431C9" w14:textId="4D805E6F" w:rsidR="00434918" w:rsidRPr="00401A4D" w:rsidRDefault="00434918" w:rsidP="00227787">
            <w:pPr>
              <w:jc w:val="right"/>
              <w:rPr>
                <w:rFonts w:ascii="Arial" w:hAnsi="Arial" w:cs="Arial"/>
                <w:sz w:val="22"/>
                <w:szCs w:val="22"/>
              </w:rPr>
            </w:pPr>
            <w:r w:rsidRPr="00401A4D">
              <w:rPr>
                <w:rFonts w:ascii="Arial" w:hAnsi="Arial" w:cs="Arial"/>
                <w:sz w:val="22"/>
                <w:szCs w:val="22"/>
              </w:rPr>
              <w:t>$</w:t>
            </w:r>
            <w:r w:rsidR="00401A4D" w:rsidRPr="00401A4D">
              <w:rPr>
                <w:rFonts w:ascii="Arial" w:hAnsi="Arial" w:cs="Arial"/>
                <w:sz w:val="22"/>
                <w:szCs w:val="22"/>
              </w:rPr>
              <w:t>49,189,093</w:t>
            </w:r>
          </w:p>
        </w:tc>
      </w:tr>
      <w:tr w:rsidR="00434918" w:rsidRPr="00502C56" w14:paraId="1E1FF334" w14:textId="77777777" w:rsidTr="00227787">
        <w:trPr>
          <w:cantSplit/>
          <w:trHeight w:val="485"/>
          <w:jc w:val="center"/>
        </w:trPr>
        <w:tc>
          <w:tcPr>
            <w:tcW w:w="8257" w:type="dxa"/>
            <w:gridSpan w:val="7"/>
            <w:tcBorders>
              <w:top w:val="dotted" w:sz="4" w:space="0" w:color="auto"/>
              <w:left w:val="nil"/>
              <w:bottom w:val="single" w:sz="12" w:space="0" w:color="auto"/>
              <w:right w:val="single" w:sz="2" w:space="0" w:color="FFFFFF" w:themeColor="background1"/>
            </w:tcBorders>
            <w:tcMar>
              <w:top w:w="72" w:type="dxa"/>
              <w:left w:w="115" w:type="dxa"/>
              <w:bottom w:w="72" w:type="dxa"/>
              <w:right w:w="115" w:type="dxa"/>
            </w:tcMar>
            <w:vAlign w:val="center"/>
          </w:tcPr>
          <w:p w14:paraId="35F8A007" w14:textId="6868D5EA" w:rsidR="00434918" w:rsidRPr="00502C56" w:rsidRDefault="00434918" w:rsidP="00227787">
            <w:pPr>
              <w:rPr>
                <w:rFonts w:ascii="Arial" w:hAnsi="Arial" w:cs="Arial"/>
                <w:sz w:val="22"/>
                <w:szCs w:val="22"/>
              </w:rPr>
            </w:pPr>
            <w:r w:rsidRPr="00502C56">
              <w:rPr>
                <w:rFonts w:ascii="Arial" w:hAnsi="Arial" w:cs="Arial"/>
                <w:b/>
                <w:sz w:val="22"/>
                <w:szCs w:val="22"/>
              </w:rPr>
              <w:t>Major Revenue Sources:</w:t>
            </w:r>
            <w:r w:rsidRPr="00502C56">
              <w:rPr>
                <w:rFonts w:ascii="Arial" w:hAnsi="Arial" w:cs="Arial"/>
                <w:sz w:val="22"/>
                <w:szCs w:val="22"/>
              </w:rPr>
              <w:t xml:space="preserve"> Sales tax, Marine property tax, interest income, Federal debt service subsidies</w:t>
            </w:r>
          </w:p>
        </w:tc>
      </w:tr>
    </w:tbl>
    <w:p w14:paraId="4AC1D061" w14:textId="77777777" w:rsidR="00434918" w:rsidRPr="00502C56" w:rsidRDefault="00434918" w:rsidP="00434918">
      <w:pPr>
        <w:spacing w:line="264" w:lineRule="auto"/>
        <w:contextualSpacing/>
        <w:rPr>
          <w:rFonts w:ascii="Arial" w:hAnsi="Arial" w:cs="Arial"/>
          <w:b/>
          <w:smallCaps/>
          <w:szCs w:val="24"/>
          <w:u w:val="single"/>
        </w:rPr>
      </w:pPr>
    </w:p>
    <w:p w14:paraId="43E0E657" w14:textId="7A0B98FC" w:rsidR="005C2E8B" w:rsidRPr="00B2433E" w:rsidRDefault="008156D8" w:rsidP="00087369">
      <w:pPr>
        <w:spacing w:line="264" w:lineRule="auto"/>
        <w:contextualSpacing/>
        <w:jc w:val="center"/>
        <w:rPr>
          <w:rFonts w:ascii="Arial" w:hAnsi="Arial" w:cs="Arial"/>
          <w:b/>
          <w:szCs w:val="24"/>
        </w:rPr>
      </w:pPr>
      <w:r>
        <w:rPr>
          <w:rFonts w:ascii="Arial" w:hAnsi="Arial" w:cs="Arial"/>
          <w:b/>
          <w:smallCaps/>
          <w:szCs w:val="24"/>
          <w:u w:val="single"/>
        </w:rPr>
        <w:t>Description</w:t>
      </w:r>
    </w:p>
    <w:p w14:paraId="25F15ECA" w14:textId="19B601BD" w:rsidR="005C2E8B" w:rsidRDefault="005C2E8B" w:rsidP="008A5CF4">
      <w:pPr>
        <w:spacing w:line="264" w:lineRule="auto"/>
        <w:contextualSpacing/>
        <w:jc w:val="both"/>
        <w:rPr>
          <w:rFonts w:ascii="Arial" w:hAnsi="Arial" w:cs="Arial"/>
          <w:szCs w:val="24"/>
        </w:rPr>
      </w:pPr>
    </w:p>
    <w:p w14:paraId="61B83D8C" w14:textId="2819618A" w:rsidR="00145B13" w:rsidRPr="00502C56" w:rsidRDefault="00145B13" w:rsidP="00145B13">
      <w:pPr>
        <w:spacing w:line="264" w:lineRule="auto"/>
        <w:contextualSpacing/>
        <w:jc w:val="both"/>
        <w:rPr>
          <w:rFonts w:ascii="Arial" w:hAnsi="Arial" w:cs="Arial"/>
          <w:szCs w:val="24"/>
        </w:rPr>
      </w:pPr>
      <w:r w:rsidRPr="00502C56">
        <w:rPr>
          <w:rFonts w:ascii="Arial" w:hAnsi="Arial" w:cs="Arial"/>
          <w:szCs w:val="24"/>
        </w:rPr>
        <w:t xml:space="preserve">The Metro Transit Department (Metro) is the largest provider of public transit in the Puget Sound region. Metro operates fixed-route services, including bus and water taxi; </w:t>
      </w:r>
      <w:r w:rsidR="00165091">
        <w:rPr>
          <w:rFonts w:ascii="Arial" w:hAnsi="Arial" w:cs="Arial"/>
          <w:szCs w:val="24"/>
        </w:rPr>
        <w:t xml:space="preserve">accessible services, including </w:t>
      </w:r>
      <w:r w:rsidRPr="00502C56">
        <w:rPr>
          <w:rFonts w:ascii="Arial" w:hAnsi="Arial" w:cs="Arial"/>
          <w:szCs w:val="24"/>
        </w:rPr>
        <w:t xml:space="preserve">Access </w:t>
      </w:r>
      <w:r w:rsidR="007702E2">
        <w:rPr>
          <w:rFonts w:ascii="Arial" w:hAnsi="Arial" w:cs="Arial"/>
          <w:szCs w:val="24"/>
        </w:rPr>
        <w:t>paratransit</w:t>
      </w:r>
      <w:r w:rsidRPr="00502C56">
        <w:rPr>
          <w:rFonts w:ascii="Arial" w:hAnsi="Arial" w:cs="Arial"/>
          <w:szCs w:val="24"/>
        </w:rPr>
        <w:t xml:space="preserve"> </w:t>
      </w:r>
      <w:r w:rsidR="00165091">
        <w:rPr>
          <w:rFonts w:ascii="Arial" w:hAnsi="Arial" w:cs="Arial"/>
          <w:szCs w:val="24"/>
        </w:rPr>
        <w:t>and Community Access Transportation</w:t>
      </w:r>
      <w:r w:rsidR="007702E2">
        <w:rPr>
          <w:rFonts w:ascii="Arial" w:hAnsi="Arial" w:cs="Arial"/>
          <w:szCs w:val="24"/>
        </w:rPr>
        <w:t xml:space="preserve"> (CAT)</w:t>
      </w:r>
      <w:r w:rsidRPr="00502C56">
        <w:rPr>
          <w:rFonts w:ascii="Arial" w:hAnsi="Arial" w:cs="Arial"/>
          <w:szCs w:val="24"/>
        </w:rPr>
        <w:t xml:space="preserve">; and a variety of flexible and shared services, including Dial-A-Ride Transit (DART), Vanpool, </w:t>
      </w:r>
      <w:r w:rsidR="009F0A57">
        <w:rPr>
          <w:rFonts w:ascii="Arial" w:hAnsi="Arial" w:cs="Arial"/>
          <w:szCs w:val="24"/>
        </w:rPr>
        <w:t>Community Van</w:t>
      </w:r>
      <w:r w:rsidRPr="00502C56">
        <w:rPr>
          <w:rFonts w:ascii="Arial" w:hAnsi="Arial" w:cs="Arial"/>
          <w:szCs w:val="24"/>
        </w:rPr>
        <w:t xml:space="preserve">, </w:t>
      </w:r>
      <w:r w:rsidR="0015445F">
        <w:rPr>
          <w:rFonts w:ascii="Arial" w:hAnsi="Arial" w:cs="Arial"/>
          <w:szCs w:val="24"/>
        </w:rPr>
        <w:t>Community Ride</w:t>
      </w:r>
      <w:r w:rsidRPr="00502C56">
        <w:rPr>
          <w:rFonts w:ascii="Arial" w:hAnsi="Arial" w:cs="Arial"/>
          <w:szCs w:val="24"/>
        </w:rPr>
        <w:t xml:space="preserve">, </w:t>
      </w:r>
      <w:r w:rsidR="002E4261">
        <w:rPr>
          <w:rFonts w:ascii="Arial" w:hAnsi="Arial" w:cs="Arial"/>
          <w:szCs w:val="24"/>
        </w:rPr>
        <w:t xml:space="preserve">and contracted </w:t>
      </w:r>
      <w:r w:rsidR="002564EE">
        <w:rPr>
          <w:rFonts w:ascii="Arial" w:hAnsi="Arial" w:cs="Arial"/>
          <w:szCs w:val="24"/>
        </w:rPr>
        <w:t xml:space="preserve">on-demand </w:t>
      </w:r>
      <w:r w:rsidR="002E4261">
        <w:rPr>
          <w:rFonts w:ascii="Arial" w:hAnsi="Arial" w:cs="Arial"/>
          <w:szCs w:val="24"/>
        </w:rPr>
        <w:t>services</w:t>
      </w:r>
      <w:r w:rsidR="007702E2">
        <w:rPr>
          <w:rFonts w:ascii="Arial" w:hAnsi="Arial" w:cs="Arial"/>
          <w:szCs w:val="24"/>
        </w:rPr>
        <w:t xml:space="preserve">, such as </w:t>
      </w:r>
      <w:r w:rsidR="002E4261">
        <w:rPr>
          <w:rFonts w:ascii="Arial" w:hAnsi="Arial" w:cs="Arial"/>
          <w:szCs w:val="24"/>
        </w:rPr>
        <w:t>Via to Transit and Ride Pingo to Transit</w:t>
      </w:r>
      <w:r w:rsidRPr="00502C56">
        <w:rPr>
          <w:rFonts w:ascii="Arial" w:hAnsi="Arial" w:cs="Arial"/>
          <w:szCs w:val="24"/>
        </w:rPr>
        <w:t xml:space="preserve">. Metro also operates Regional Express bus service and Link </w:t>
      </w:r>
      <w:r w:rsidR="002564EE">
        <w:rPr>
          <w:rFonts w:ascii="Arial" w:hAnsi="Arial" w:cs="Arial"/>
          <w:szCs w:val="24"/>
        </w:rPr>
        <w:t>l</w:t>
      </w:r>
      <w:r w:rsidRPr="00502C56">
        <w:rPr>
          <w:rFonts w:ascii="Arial" w:hAnsi="Arial" w:cs="Arial"/>
          <w:szCs w:val="24"/>
        </w:rPr>
        <w:t xml:space="preserve">ight </w:t>
      </w:r>
      <w:r w:rsidR="002564EE">
        <w:rPr>
          <w:rFonts w:ascii="Arial" w:hAnsi="Arial" w:cs="Arial"/>
          <w:szCs w:val="24"/>
        </w:rPr>
        <w:t>r</w:t>
      </w:r>
      <w:r w:rsidRPr="00502C56">
        <w:rPr>
          <w:rFonts w:ascii="Arial" w:hAnsi="Arial" w:cs="Arial"/>
          <w:szCs w:val="24"/>
        </w:rPr>
        <w:t xml:space="preserve">ail under contract </w:t>
      </w:r>
      <w:r w:rsidR="00A6646B">
        <w:rPr>
          <w:rFonts w:ascii="Arial" w:hAnsi="Arial" w:cs="Arial"/>
          <w:szCs w:val="24"/>
        </w:rPr>
        <w:t>to</w:t>
      </w:r>
      <w:r w:rsidRPr="00502C56">
        <w:rPr>
          <w:rFonts w:ascii="Arial" w:hAnsi="Arial" w:cs="Arial"/>
          <w:szCs w:val="24"/>
        </w:rPr>
        <w:t xml:space="preserve"> Sound </w:t>
      </w:r>
      <w:r w:rsidR="00087369" w:rsidRPr="00502C56">
        <w:rPr>
          <w:rFonts w:ascii="Arial" w:hAnsi="Arial" w:cs="Arial"/>
          <w:szCs w:val="24"/>
        </w:rPr>
        <w:t>Transit,</w:t>
      </w:r>
      <w:r w:rsidRPr="00502C56">
        <w:rPr>
          <w:rFonts w:ascii="Arial" w:hAnsi="Arial" w:cs="Arial"/>
          <w:szCs w:val="24"/>
        </w:rPr>
        <w:t xml:space="preserve"> and streetcar service </w:t>
      </w:r>
      <w:r w:rsidR="00732564">
        <w:rPr>
          <w:rFonts w:ascii="Arial" w:hAnsi="Arial" w:cs="Arial"/>
          <w:szCs w:val="24"/>
        </w:rPr>
        <w:t xml:space="preserve">under contract to </w:t>
      </w:r>
      <w:r w:rsidRPr="00502C56">
        <w:rPr>
          <w:rFonts w:ascii="Arial" w:hAnsi="Arial" w:cs="Arial"/>
          <w:szCs w:val="24"/>
        </w:rPr>
        <w:t xml:space="preserve">the City of Seattle. </w:t>
      </w:r>
      <w:r w:rsidR="002971FE">
        <w:rPr>
          <w:rFonts w:ascii="Arial" w:hAnsi="Arial" w:cs="Arial"/>
          <w:szCs w:val="24"/>
        </w:rPr>
        <w:t xml:space="preserve">Prior to the </w:t>
      </w:r>
      <w:r w:rsidR="003D2C8C">
        <w:rPr>
          <w:rFonts w:ascii="Arial" w:hAnsi="Arial" w:cs="Arial"/>
          <w:szCs w:val="24"/>
        </w:rPr>
        <w:t xml:space="preserve">COVID-19 </w:t>
      </w:r>
      <w:r w:rsidR="002971FE">
        <w:rPr>
          <w:rFonts w:ascii="Arial" w:hAnsi="Arial" w:cs="Arial"/>
          <w:szCs w:val="24"/>
        </w:rPr>
        <w:t>pandemic</w:t>
      </w:r>
      <w:r w:rsidRPr="00502C56">
        <w:rPr>
          <w:rFonts w:ascii="Arial" w:hAnsi="Arial" w:cs="Arial"/>
          <w:szCs w:val="24"/>
        </w:rPr>
        <w:t>, Metro provided more than 130 million rides each year on these mobility services</w:t>
      </w:r>
      <w:r w:rsidR="002971FE">
        <w:rPr>
          <w:rFonts w:ascii="Arial" w:hAnsi="Arial" w:cs="Arial"/>
          <w:szCs w:val="24"/>
        </w:rPr>
        <w:t xml:space="preserve">, with more than </w:t>
      </w:r>
      <w:r w:rsidR="00C00AF0">
        <w:rPr>
          <w:rFonts w:ascii="Arial" w:hAnsi="Arial" w:cs="Arial"/>
          <w:szCs w:val="24"/>
        </w:rPr>
        <w:t>5</w:t>
      </w:r>
      <w:r w:rsidR="00507D7E">
        <w:rPr>
          <w:rFonts w:ascii="Arial" w:hAnsi="Arial" w:cs="Arial"/>
          <w:szCs w:val="24"/>
        </w:rPr>
        <w:t>0</w:t>
      </w:r>
      <w:r w:rsidR="00C00AF0">
        <w:rPr>
          <w:rFonts w:ascii="Arial" w:hAnsi="Arial" w:cs="Arial"/>
          <w:szCs w:val="24"/>
        </w:rPr>
        <w:t>0</w:t>
      </w:r>
      <w:r w:rsidR="002971FE">
        <w:rPr>
          <w:rFonts w:ascii="Arial" w:hAnsi="Arial" w:cs="Arial"/>
          <w:szCs w:val="24"/>
        </w:rPr>
        <w:t>,000 boardings each weekday</w:t>
      </w:r>
      <w:r w:rsidRPr="00502C56">
        <w:rPr>
          <w:rFonts w:ascii="Arial" w:hAnsi="Arial" w:cs="Arial"/>
          <w:szCs w:val="24"/>
        </w:rPr>
        <w:t>.</w:t>
      </w:r>
    </w:p>
    <w:p w14:paraId="741E1479" w14:textId="77777777" w:rsidR="00145B13" w:rsidRPr="00502C56" w:rsidRDefault="00145B13" w:rsidP="00145B13">
      <w:pPr>
        <w:spacing w:line="264" w:lineRule="auto"/>
        <w:contextualSpacing/>
        <w:jc w:val="both"/>
        <w:rPr>
          <w:rFonts w:ascii="Arial" w:hAnsi="Arial" w:cs="Arial"/>
          <w:szCs w:val="24"/>
        </w:rPr>
      </w:pPr>
    </w:p>
    <w:p w14:paraId="7225057A" w14:textId="1FD2720D" w:rsidR="00145B13" w:rsidRPr="00502C56" w:rsidRDefault="0052355A" w:rsidP="00C4599F">
      <w:pPr>
        <w:spacing w:line="264" w:lineRule="auto"/>
        <w:contextualSpacing/>
        <w:jc w:val="both"/>
        <w:rPr>
          <w:rFonts w:ascii="Arial" w:hAnsi="Arial" w:cs="Arial"/>
          <w:szCs w:val="24"/>
        </w:rPr>
      </w:pPr>
      <w:r>
        <w:rPr>
          <w:rFonts w:ascii="Arial" w:hAnsi="Arial" w:cs="Arial"/>
          <w:szCs w:val="24"/>
        </w:rPr>
        <w:t>Metro</w:t>
      </w:r>
      <w:r w:rsidR="00A535F2">
        <w:rPr>
          <w:rFonts w:ascii="Arial" w:hAnsi="Arial" w:cs="Arial"/>
          <w:szCs w:val="24"/>
        </w:rPr>
        <w:t>’s</w:t>
      </w:r>
      <w:r>
        <w:rPr>
          <w:rFonts w:ascii="Arial" w:hAnsi="Arial" w:cs="Arial"/>
          <w:szCs w:val="24"/>
        </w:rPr>
        <w:t xml:space="preserve"> services are guided by its adopted policies, t</w:t>
      </w:r>
      <w:r w:rsidR="00145B13" w:rsidRPr="00502C56">
        <w:rPr>
          <w:rFonts w:ascii="Arial" w:hAnsi="Arial" w:cs="Arial"/>
          <w:szCs w:val="24"/>
        </w:rPr>
        <w:t>he Strategic Plan for Public Transportation</w:t>
      </w:r>
      <w:r>
        <w:rPr>
          <w:rFonts w:ascii="Arial" w:hAnsi="Arial" w:cs="Arial"/>
          <w:szCs w:val="24"/>
        </w:rPr>
        <w:t xml:space="preserve">, </w:t>
      </w:r>
      <w:r w:rsidR="00145B13" w:rsidRPr="00502C56">
        <w:rPr>
          <w:rFonts w:ascii="Arial" w:hAnsi="Arial" w:cs="Arial"/>
          <w:szCs w:val="24"/>
        </w:rPr>
        <w:t>King County Metro Service Guidelines</w:t>
      </w:r>
      <w:r>
        <w:rPr>
          <w:rFonts w:ascii="Arial" w:hAnsi="Arial" w:cs="Arial"/>
          <w:szCs w:val="24"/>
        </w:rPr>
        <w:t>, and Metro Connects long-rang</w:t>
      </w:r>
      <w:r w:rsidR="0070262A">
        <w:rPr>
          <w:rFonts w:ascii="Arial" w:hAnsi="Arial" w:cs="Arial"/>
          <w:szCs w:val="24"/>
        </w:rPr>
        <w:t>e</w:t>
      </w:r>
      <w:r>
        <w:rPr>
          <w:rFonts w:ascii="Arial" w:hAnsi="Arial" w:cs="Arial"/>
          <w:szCs w:val="24"/>
        </w:rPr>
        <w:t xml:space="preserve"> plan.</w:t>
      </w:r>
      <w:r>
        <w:rPr>
          <w:rStyle w:val="FootnoteReference"/>
          <w:rFonts w:ascii="Arial" w:hAnsi="Arial" w:cs="Arial"/>
          <w:szCs w:val="24"/>
        </w:rPr>
        <w:footnoteReference w:id="2"/>
      </w:r>
      <w:r>
        <w:rPr>
          <w:rFonts w:ascii="Arial" w:hAnsi="Arial" w:cs="Arial"/>
          <w:szCs w:val="24"/>
        </w:rPr>
        <w:t xml:space="preserve"> </w:t>
      </w:r>
      <w:r w:rsidR="00EF7D50">
        <w:rPr>
          <w:rFonts w:ascii="Arial" w:hAnsi="Arial" w:cs="Arial"/>
          <w:szCs w:val="24"/>
        </w:rPr>
        <w:t>Its</w:t>
      </w:r>
      <w:r w:rsidR="00145B13" w:rsidRPr="00502C56">
        <w:rPr>
          <w:rFonts w:ascii="Arial" w:hAnsi="Arial" w:cs="Arial"/>
          <w:szCs w:val="24"/>
        </w:rPr>
        <w:t xml:space="preserve"> services are supported by dedicated funding sources</w:t>
      </w:r>
      <w:r w:rsidR="000065A3">
        <w:rPr>
          <w:rFonts w:ascii="Arial" w:hAnsi="Arial" w:cs="Arial"/>
          <w:szCs w:val="24"/>
        </w:rPr>
        <w:t xml:space="preserve"> that include</w:t>
      </w:r>
      <w:r w:rsidR="00145B13" w:rsidRPr="00502C56">
        <w:rPr>
          <w:rFonts w:ascii="Arial" w:hAnsi="Arial" w:cs="Arial"/>
          <w:szCs w:val="24"/>
        </w:rPr>
        <w:t xml:space="preserve"> a 0.9 percent sales tax; federal and state grants; contracts for service with Sound Transit, the City of Seattle, and other partners; and fares. Metro also receives a minor portion of its revenues from dedicated property taxes</w:t>
      </w:r>
      <w:r w:rsidR="00FE6707">
        <w:rPr>
          <w:rFonts w:ascii="Arial" w:hAnsi="Arial" w:cs="Arial"/>
          <w:szCs w:val="24"/>
        </w:rPr>
        <w:t xml:space="preserve">, including a dedicated property tax for water taxi service, </w:t>
      </w:r>
      <w:r w:rsidR="00145B13" w:rsidRPr="00502C56">
        <w:rPr>
          <w:rFonts w:ascii="Arial" w:hAnsi="Arial" w:cs="Arial"/>
          <w:szCs w:val="24"/>
        </w:rPr>
        <w:t>and interest.</w:t>
      </w:r>
    </w:p>
    <w:p w14:paraId="115006CB" w14:textId="77777777" w:rsidR="00145B13" w:rsidRPr="00502C56" w:rsidRDefault="00145B13" w:rsidP="00145B13">
      <w:pPr>
        <w:spacing w:line="264" w:lineRule="auto"/>
        <w:contextualSpacing/>
        <w:jc w:val="both"/>
        <w:rPr>
          <w:rFonts w:ascii="Arial" w:hAnsi="Arial" w:cs="Arial"/>
          <w:szCs w:val="24"/>
        </w:rPr>
      </w:pPr>
    </w:p>
    <w:p w14:paraId="46215BC2" w14:textId="0A21F8A2" w:rsidR="00145B13" w:rsidRPr="00502C56" w:rsidRDefault="00145B13" w:rsidP="00145B13">
      <w:pPr>
        <w:spacing w:line="264" w:lineRule="auto"/>
        <w:contextualSpacing/>
        <w:jc w:val="both"/>
        <w:rPr>
          <w:rFonts w:ascii="Arial" w:hAnsi="Arial" w:cs="Arial"/>
          <w:szCs w:val="24"/>
        </w:rPr>
      </w:pPr>
      <w:r w:rsidRPr="00502C56">
        <w:rPr>
          <w:rFonts w:ascii="Arial" w:hAnsi="Arial" w:cs="Arial"/>
          <w:szCs w:val="24"/>
        </w:rPr>
        <w:t xml:space="preserve">The COVID-19 pandemic significantly </w:t>
      </w:r>
      <w:r w:rsidR="0016418D">
        <w:rPr>
          <w:rFonts w:ascii="Arial" w:hAnsi="Arial" w:cs="Arial"/>
          <w:szCs w:val="24"/>
        </w:rPr>
        <w:t>affected</w:t>
      </w:r>
      <w:r w:rsidRPr="00502C56">
        <w:rPr>
          <w:rFonts w:ascii="Arial" w:hAnsi="Arial" w:cs="Arial"/>
          <w:szCs w:val="24"/>
        </w:rPr>
        <w:t xml:space="preserve"> Metro's operations and </w:t>
      </w:r>
      <w:r w:rsidR="00597E31">
        <w:rPr>
          <w:rFonts w:ascii="Arial" w:hAnsi="Arial" w:cs="Arial"/>
          <w:szCs w:val="24"/>
        </w:rPr>
        <w:t>finances</w:t>
      </w:r>
      <w:r w:rsidRPr="00502C56">
        <w:rPr>
          <w:rFonts w:ascii="Arial" w:hAnsi="Arial" w:cs="Arial"/>
          <w:szCs w:val="24"/>
        </w:rPr>
        <w:t xml:space="preserve"> and will </w:t>
      </w:r>
      <w:r w:rsidR="009B1B4B">
        <w:rPr>
          <w:rFonts w:ascii="Arial" w:hAnsi="Arial" w:cs="Arial"/>
          <w:szCs w:val="24"/>
        </w:rPr>
        <w:t xml:space="preserve">continue to </w:t>
      </w:r>
      <w:r w:rsidRPr="00502C56">
        <w:rPr>
          <w:rFonts w:ascii="Arial" w:hAnsi="Arial" w:cs="Arial"/>
          <w:szCs w:val="24"/>
        </w:rPr>
        <w:t xml:space="preserve">affect Metro into the next biennium. Metro is currently operating approximately </w:t>
      </w:r>
      <w:r w:rsidR="00EA7300" w:rsidRPr="002A20A1">
        <w:rPr>
          <w:rFonts w:ascii="Arial" w:hAnsi="Arial" w:cs="Arial"/>
          <w:szCs w:val="24"/>
        </w:rPr>
        <w:t>9</w:t>
      </w:r>
      <w:r w:rsidR="002A20A1" w:rsidRPr="002A20A1">
        <w:rPr>
          <w:rFonts w:ascii="Arial" w:hAnsi="Arial" w:cs="Arial"/>
          <w:szCs w:val="24"/>
        </w:rPr>
        <w:t>0</w:t>
      </w:r>
      <w:r w:rsidRPr="002A20A1">
        <w:rPr>
          <w:rFonts w:ascii="Arial" w:hAnsi="Arial" w:cs="Arial"/>
          <w:szCs w:val="24"/>
        </w:rPr>
        <w:t xml:space="preserve"> percent</w:t>
      </w:r>
      <w:r w:rsidRPr="00502C56">
        <w:rPr>
          <w:rFonts w:ascii="Arial" w:hAnsi="Arial" w:cs="Arial"/>
          <w:szCs w:val="24"/>
        </w:rPr>
        <w:t xml:space="preserve"> of its pre-COVID-19 service </w:t>
      </w:r>
      <w:r w:rsidR="00EA7300">
        <w:rPr>
          <w:rFonts w:ascii="Arial" w:hAnsi="Arial" w:cs="Arial"/>
          <w:szCs w:val="24"/>
        </w:rPr>
        <w:t xml:space="preserve">with approximately half its pre-COVID daily </w:t>
      </w:r>
      <w:r w:rsidR="00E61EE1">
        <w:rPr>
          <w:rFonts w:ascii="Arial" w:hAnsi="Arial" w:cs="Arial"/>
          <w:szCs w:val="24"/>
        </w:rPr>
        <w:t>ridership</w:t>
      </w:r>
      <w:r w:rsidR="00EA7300">
        <w:rPr>
          <w:rFonts w:ascii="Arial" w:hAnsi="Arial" w:cs="Arial"/>
          <w:szCs w:val="24"/>
        </w:rPr>
        <w:t xml:space="preserve">. </w:t>
      </w:r>
      <w:r w:rsidR="00494256">
        <w:rPr>
          <w:rFonts w:ascii="Arial" w:hAnsi="Arial" w:cs="Arial"/>
          <w:szCs w:val="24"/>
        </w:rPr>
        <w:t xml:space="preserve">Ongoing staffing shortages </w:t>
      </w:r>
      <w:r w:rsidR="004710A7">
        <w:rPr>
          <w:rFonts w:ascii="Arial" w:hAnsi="Arial" w:cs="Arial"/>
          <w:szCs w:val="24"/>
        </w:rPr>
        <w:t xml:space="preserve">and continued low ridership, </w:t>
      </w:r>
      <w:r w:rsidR="004710A7">
        <w:rPr>
          <w:rFonts w:ascii="Arial" w:hAnsi="Arial" w:cs="Arial"/>
          <w:szCs w:val="24"/>
        </w:rPr>
        <w:lastRenderedPageBreak/>
        <w:t>particularly during the peak commut</w:t>
      </w:r>
      <w:r w:rsidR="000619E2">
        <w:rPr>
          <w:rFonts w:ascii="Arial" w:hAnsi="Arial" w:cs="Arial"/>
          <w:szCs w:val="24"/>
        </w:rPr>
        <w:t>e</w:t>
      </w:r>
      <w:r w:rsidR="004710A7">
        <w:rPr>
          <w:rFonts w:ascii="Arial" w:hAnsi="Arial" w:cs="Arial"/>
          <w:szCs w:val="24"/>
        </w:rPr>
        <w:t xml:space="preserve"> periods, </w:t>
      </w:r>
      <w:r w:rsidR="00494256">
        <w:rPr>
          <w:rFonts w:ascii="Arial" w:hAnsi="Arial" w:cs="Arial"/>
          <w:szCs w:val="24"/>
        </w:rPr>
        <w:t>have prevented Metro from fully restoring transit service</w:t>
      </w:r>
      <w:r w:rsidR="004710A7">
        <w:rPr>
          <w:rFonts w:ascii="Arial" w:hAnsi="Arial" w:cs="Arial"/>
          <w:szCs w:val="24"/>
        </w:rPr>
        <w:t xml:space="preserve">. </w:t>
      </w:r>
      <w:r w:rsidR="00FE4125">
        <w:rPr>
          <w:rFonts w:ascii="Arial" w:hAnsi="Arial" w:cs="Arial"/>
          <w:szCs w:val="24"/>
        </w:rPr>
        <w:t>The</w:t>
      </w:r>
      <w:r w:rsidR="00DB710F">
        <w:rPr>
          <w:rFonts w:ascii="Arial" w:hAnsi="Arial" w:cs="Arial"/>
          <w:szCs w:val="24"/>
        </w:rPr>
        <w:t xml:space="preserve"> pandemic’s</w:t>
      </w:r>
      <w:r w:rsidR="00FE4125">
        <w:rPr>
          <w:rFonts w:ascii="Arial" w:hAnsi="Arial" w:cs="Arial"/>
          <w:szCs w:val="24"/>
        </w:rPr>
        <w:t xml:space="preserve"> </w:t>
      </w:r>
      <w:r w:rsidR="00E20FA6">
        <w:rPr>
          <w:rFonts w:ascii="Arial" w:hAnsi="Arial" w:cs="Arial"/>
          <w:szCs w:val="24"/>
        </w:rPr>
        <w:t xml:space="preserve">fiscal </w:t>
      </w:r>
      <w:r w:rsidR="00FE4125">
        <w:rPr>
          <w:rFonts w:ascii="Arial" w:hAnsi="Arial" w:cs="Arial"/>
          <w:szCs w:val="24"/>
        </w:rPr>
        <w:t>impacts of</w:t>
      </w:r>
      <w:r w:rsidR="005A26FC">
        <w:rPr>
          <w:rFonts w:ascii="Arial" w:hAnsi="Arial" w:cs="Arial"/>
          <w:szCs w:val="24"/>
        </w:rPr>
        <w:t xml:space="preserve"> </w:t>
      </w:r>
      <w:r w:rsidR="00FE4125">
        <w:rPr>
          <w:rFonts w:ascii="Arial" w:hAnsi="Arial" w:cs="Arial"/>
          <w:szCs w:val="24"/>
        </w:rPr>
        <w:t xml:space="preserve">lower fare </w:t>
      </w:r>
      <w:r w:rsidR="005A26FC">
        <w:rPr>
          <w:rFonts w:ascii="Arial" w:hAnsi="Arial" w:cs="Arial"/>
          <w:szCs w:val="24"/>
        </w:rPr>
        <w:t>collection</w:t>
      </w:r>
      <w:r w:rsidR="00FE4125">
        <w:rPr>
          <w:rFonts w:ascii="Arial" w:hAnsi="Arial" w:cs="Arial"/>
          <w:szCs w:val="24"/>
        </w:rPr>
        <w:t xml:space="preserve"> and higher operating costs </w:t>
      </w:r>
      <w:r w:rsidR="00E20FA6">
        <w:rPr>
          <w:rFonts w:ascii="Arial" w:hAnsi="Arial" w:cs="Arial"/>
          <w:szCs w:val="24"/>
        </w:rPr>
        <w:t xml:space="preserve">have </w:t>
      </w:r>
      <w:r w:rsidR="00FE4125">
        <w:rPr>
          <w:rFonts w:ascii="Arial" w:hAnsi="Arial" w:cs="Arial"/>
          <w:szCs w:val="24"/>
        </w:rPr>
        <w:t>been offset</w:t>
      </w:r>
      <w:r w:rsidR="003373C4">
        <w:rPr>
          <w:rFonts w:ascii="Arial" w:hAnsi="Arial" w:cs="Arial"/>
          <w:szCs w:val="24"/>
        </w:rPr>
        <w:t xml:space="preserve"> by several rounds of federal aid</w:t>
      </w:r>
      <w:r w:rsidR="00BC61B9">
        <w:rPr>
          <w:rFonts w:ascii="Arial" w:hAnsi="Arial" w:cs="Arial"/>
          <w:szCs w:val="24"/>
        </w:rPr>
        <w:t xml:space="preserve">, </w:t>
      </w:r>
      <w:r w:rsidR="003C3B15">
        <w:rPr>
          <w:rFonts w:ascii="Arial" w:hAnsi="Arial" w:cs="Arial"/>
          <w:szCs w:val="24"/>
        </w:rPr>
        <w:t xml:space="preserve">which will continue to support operations and </w:t>
      </w:r>
      <w:r w:rsidR="00003D92">
        <w:rPr>
          <w:rFonts w:ascii="Arial" w:hAnsi="Arial" w:cs="Arial"/>
          <w:szCs w:val="24"/>
        </w:rPr>
        <w:t xml:space="preserve">capital </w:t>
      </w:r>
      <w:r w:rsidR="003C3B15">
        <w:rPr>
          <w:rFonts w:ascii="Arial" w:hAnsi="Arial" w:cs="Arial"/>
          <w:szCs w:val="24"/>
        </w:rPr>
        <w:t>investments during the 2023-2024 biennium</w:t>
      </w:r>
      <w:r w:rsidR="002011FA">
        <w:rPr>
          <w:rFonts w:ascii="Arial" w:hAnsi="Arial" w:cs="Arial"/>
          <w:szCs w:val="24"/>
        </w:rPr>
        <w:t>.</w:t>
      </w:r>
    </w:p>
    <w:p w14:paraId="58418056" w14:textId="766FA0AF" w:rsidR="004567F8" w:rsidRPr="00F6225B" w:rsidRDefault="004567F8" w:rsidP="008A5CF4">
      <w:pPr>
        <w:spacing w:line="264" w:lineRule="auto"/>
        <w:contextualSpacing/>
        <w:rPr>
          <w:rFonts w:ascii="Arial" w:hAnsi="Arial" w:cs="Arial"/>
          <w:szCs w:val="24"/>
        </w:rPr>
      </w:pPr>
    </w:p>
    <w:p w14:paraId="63E54FF6" w14:textId="154CE1C7" w:rsidR="005C2E8B" w:rsidRPr="00B2433E" w:rsidRDefault="008156D8" w:rsidP="008156D8">
      <w:pPr>
        <w:spacing w:line="264" w:lineRule="auto"/>
        <w:contextualSpacing/>
        <w:jc w:val="center"/>
        <w:rPr>
          <w:rFonts w:ascii="Arial" w:hAnsi="Arial" w:cs="Arial"/>
          <w:b/>
          <w:szCs w:val="24"/>
        </w:rPr>
      </w:pPr>
      <w:r>
        <w:rPr>
          <w:rFonts w:ascii="Arial" w:hAnsi="Arial" w:cs="Arial"/>
          <w:b/>
          <w:smallCaps/>
          <w:szCs w:val="24"/>
          <w:u w:val="single"/>
        </w:rPr>
        <w:t>Summary of Proposed Budget and Changes</w:t>
      </w:r>
    </w:p>
    <w:p w14:paraId="6F397FB5" w14:textId="77777777" w:rsidR="005C2E8B" w:rsidRPr="00F6225B" w:rsidRDefault="005C2E8B" w:rsidP="008A5CF4">
      <w:pPr>
        <w:spacing w:line="264" w:lineRule="auto"/>
        <w:contextualSpacing/>
        <w:jc w:val="both"/>
        <w:rPr>
          <w:rFonts w:ascii="Arial" w:hAnsi="Arial" w:cs="Arial"/>
          <w:szCs w:val="24"/>
        </w:rPr>
      </w:pPr>
    </w:p>
    <w:p w14:paraId="531D7D70" w14:textId="0F986D70" w:rsidR="003C3AEE" w:rsidRDefault="00294829" w:rsidP="003C3AEE">
      <w:pPr>
        <w:spacing w:line="264" w:lineRule="auto"/>
        <w:contextualSpacing/>
        <w:jc w:val="both"/>
        <w:rPr>
          <w:rFonts w:ascii="Arial" w:hAnsi="Arial" w:cs="Arial"/>
          <w:szCs w:val="24"/>
        </w:rPr>
      </w:pPr>
      <w:r>
        <w:rPr>
          <w:rFonts w:ascii="Arial" w:hAnsi="Arial" w:cs="Arial"/>
          <w:szCs w:val="24"/>
        </w:rPr>
        <w:t xml:space="preserve">Metro’s </w:t>
      </w:r>
      <w:r w:rsidR="003C3AEE" w:rsidRPr="0062318C">
        <w:rPr>
          <w:rFonts w:ascii="Arial" w:hAnsi="Arial" w:cs="Arial"/>
          <w:szCs w:val="24"/>
        </w:rPr>
        <w:t xml:space="preserve">proposed </w:t>
      </w:r>
      <w:r w:rsidR="00DE1886">
        <w:rPr>
          <w:rFonts w:ascii="Arial" w:hAnsi="Arial" w:cs="Arial"/>
          <w:szCs w:val="24"/>
        </w:rPr>
        <w:t xml:space="preserve">operating </w:t>
      </w:r>
      <w:r w:rsidR="003C3AEE" w:rsidRPr="0062318C">
        <w:rPr>
          <w:rFonts w:ascii="Arial" w:hAnsi="Arial" w:cs="Arial"/>
          <w:szCs w:val="24"/>
        </w:rPr>
        <w:t xml:space="preserve">budget of </w:t>
      </w:r>
      <w:r w:rsidR="003C3AEE" w:rsidRPr="00F66BC0">
        <w:rPr>
          <w:rFonts w:ascii="Arial" w:hAnsi="Arial" w:cs="Arial"/>
          <w:szCs w:val="24"/>
        </w:rPr>
        <w:t>$</w:t>
      </w:r>
      <w:r w:rsidR="008C6F5A">
        <w:rPr>
          <w:rFonts w:ascii="Arial" w:hAnsi="Arial" w:cs="Arial"/>
          <w:szCs w:val="24"/>
        </w:rPr>
        <w:t>2</w:t>
      </w:r>
      <w:r w:rsidR="00C53D4B">
        <w:rPr>
          <w:rFonts w:ascii="Arial" w:hAnsi="Arial" w:cs="Arial"/>
          <w:szCs w:val="24"/>
        </w:rPr>
        <w:t>.</w:t>
      </w:r>
      <w:r w:rsidR="00A24A47">
        <w:rPr>
          <w:rFonts w:ascii="Arial" w:hAnsi="Arial" w:cs="Arial"/>
          <w:szCs w:val="24"/>
        </w:rPr>
        <w:t xml:space="preserve">47 </w:t>
      </w:r>
      <w:r w:rsidR="003C3AEE" w:rsidRPr="00F66BC0">
        <w:rPr>
          <w:rFonts w:ascii="Arial" w:hAnsi="Arial" w:cs="Arial"/>
          <w:szCs w:val="24"/>
        </w:rPr>
        <w:t>billion</w:t>
      </w:r>
      <w:r w:rsidR="003C3AEE" w:rsidRPr="0062318C">
        <w:rPr>
          <w:rFonts w:ascii="Arial" w:hAnsi="Arial" w:cs="Arial"/>
          <w:szCs w:val="24"/>
        </w:rPr>
        <w:t xml:space="preserve"> represents a </w:t>
      </w:r>
      <w:r w:rsidR="008C6F5A">
        <w:rPr>
          <w:rFonts w:ascii="Arial" w:hAnsi="Arial" w:cs="Arial"/>
          <w:szCs w:val="24"/>
        </w:rPr>
        <w:t>19</w:t>
      </w:r>
      <w:r w:rsidR="003C3AEE" w:rsidRPr="006E155B">
        <w:rPr>
          <w:rFonts w:ascii="Arial" w:hAnsi="Arial" w:cs="Arial"/>
          <w:szCs w:val="24"/>
        </w:rPr>
        <w:t xml:space="preserve"> percent increase over the</w:t>
      </w:r>
      <w:r w:rsidR="003C3AEE" w:rsidRPr="00134CFF">
        <w:rPr>
          <w:rFonts w:ascii="Arial" w:hAnsi="Arial" w:cs="Arial"/>
          <w:szCs w:val="24"/>
        </w:rPr>
        <w:t xml:space="preserve"> 20</w:t>
      </w:r>
      <w:r w:rsidR="00134CFF" w:rsidRPr="00134CFF">
        <w:rPr>
          <w:rFonts w:ascii="Arial" w:hAnsi="Arial" w:cs="Arial"/>
          <w:szCs w:val="24"/>
        </w:rPr>
        <w:t>21-2022</w:t>
      </w:r>
      <w:r w:rsidR="003C3AEE" w:rsidRPr="00134CFF">
        <w:rPr>
          <w:rFonts w:ascii="Arial" w:hAnsi="Arial" w:cs="Arial"/>
          <w:szCs w:val="24"/>
        </w:rPr>
        <w:t xml:space="preserve"> biennium</w:t>
      </w:r>
      <w:r w:rsidR="00A24A47">
        <w:rPr>
          <w:rFonts w:ascii="Arial" w:hAnsi="Arial" w:cs="Arial"/>
          <w:szCs w:val="24"/>
        </w:rPr>
        <w:t xml:space="preserve">. </w:t>
      </w:r>
      <w:r w:rsidR="00C53D4B" w:rsidRPr="008B7853">
        <w:rPr>
          <w:rFonts w:ascii="Arial" w:hAnsi="Arial" w:cs="Arial"/>
          <w:szCs w:val="24"/>
        </w:rPr>
        <w:t xml:space="preserve">Metro </w:t>
      </w:r>
      <w:r w:rsidR="00D71730">
        <w:rPr>
          <w:rFonts w:ascii="Arial" w:hAnsi="Arial" w:cs="Arial"/>
          <w:szCs w:val="24"/>
        </w:rPr>
        <w:t xml:space="preserve">also </w:t>
      </w:r>
      <w:r w:rsidR="00C53D4B" w:rsidRPr="008B7853">
        <w:rPr>
          <w:rFonts w:ascii="Arial" w:hAnsi="Arial" w:cs="Arial"/>
          <w:szCs w:val="24"/>
        </w:rPr>
        <w:t xml:space="preserve">proposes </w:t>
      </w:r>
      <w:r w:rsidR="00F900FC" w:rsidRPr="008B7853">
        <w:rPr>
          <w:rFonts w:ascii="Arial" w:hAnsi="Arial" w:cs="Arial"/>
          <w:szCs w:val="24"/>
        </w:rPr>
        <w:t xml:space="preserve">to spend </w:t>
      </w:r>
      <w:r w:rsidR="000E33A3" w:rsidRPr="008B7853">
        <w:rPr>
          <w:rFonts w:ascii="Arial" w:hAnsi="Arial" w:cs="Arial"/>
          <w:szCs w:val="24"/>
        </w:rPr>
        <w:t>$369 million on capital projects and $234 million on fleet purchases</w:t>
      </w:r>
      <w:r w:rsidR="00051499">
        <w:rPr>
          <w:rFonts w:ascii="Arial" w:hAnsi="Arial" w:cs="Arial"/>
          <w:szCs w:val="24"/>
        </w:rPr>
        <w:t xml:space="preserve"> during the biennium</w:t>
      </w:r>
      <w:r w:rsidR="00D57F35">
        <w:rPr>
          <w:rFonts w:ascii="Arial" w:hAnsi="Arial" w:cs="Arial"/>
          <w:szCs w:val="24"/>
        </w:rPr>
        <w:t>,</w:t>
      </w:r>
      <w:r w:rsidR="004B034A">
        <w:rPr>
          <w:rFonts w:ascii="Arial" w:hAnsi="Arial" w:cs="Arial"/>
          <w:szCs w:val="24"/>
        </w:rPr>
        <w:t xml:space="preserve"> </w:t>
      </w:r>
      <w:r w:rsidR="00D57F35">
        <w:rPr>
          <w:rFonts w:ascii="Arial" w:hAnsi="Arial" w:cs="Arial"/>
          <w:szCs w:val="24"/>
        </w:rPr>
        <w:t xml:space="preserve">both of which are </w:t>
      </w:r>
      <w:r w:rsidR="004B034A">
        <w:rPr>
          <w:rFonts w:ascii="Arial" w:hAnsi="Arial" w:cs="Arial"/>
          <w:szCs w:val="24"/>
        </w:rPr>
        <w:t xml:space="preserve">part of a </w:t>
      </w:r>
      <w:r w:rsidR="00C45EC5">
        <w:rPr>
          <w:rFonts w:ascii="Arial" w:hAnsi="Arial" w:cs="Arial"/>
          <w:szCs w:val="24"/>
        </w:rPr>
        <w:t>10-year capital improvement plan</w:t>
      </w:r>
      <w:r w:rsidR="00D57F35">
        <w:rPr>
          <w:rFonts w:ascii="Arial" w:hAnsi="Arial" w:cs="Arial"/>
          <w:szCs w:val="24"/>
        </w:rPr>
        <w:t xml:space="preserve"> that, </w:t>
      </w:r>
      <w:r w:rsidR="00FA14EF">
        <w:rPr>
          <w:rFonts w:ascii="Arial" w:hAnsi="Arial" w:cs="Arial"/>
          <w:szCs w:val="24"/>
        </w:rPr>
        <w:t>at $4.5 billion, represents a $1.9 billion increase over the plan proposed as part of the 2021-2022 budget.</w:t>
      </w:r>
    </w:p>
    <w:p w14:paraId="56C779AD" w14:textId="3D93B9E4" w:rsidR="005847E1" w:rsidRDefault="005847E1" w:rsidP="003C3AEE">
      <w:pPr>
        <w:spacing w:line="264" w:lineRule="auto"/>
        <w:contextualSpacing/>
        <w:jc w:val="both"/>
        <w:rPr>
          <w:rFonts w:ascii="Arial" w:hAnsi="Arial" w:cs="Arial"/>
          <w:szCs w:val="24"/>
        </w:rPr>
      </w:pPr>
    </w:p>
    <w:p w14:paraId="50C29E2A" w14:textId="0624E46F" w:rsidR="00427304" w:rsidRDefault="00514CC2" w:rsidP="00427304">
      <w:pPr>
        <w:spacing w:line="264" w:lineRule="auto"/>
        <w:contextualSpacing/>
        <w:jc w:val="both"/>
        <w:rPr>
          <w:rFonts w:ascii="Arial" w:hAnsi="Arial" w:cs="Arial"/>
          <w:szCs w:val="24"/>
        </w:rPr>
      </w:pPr>
      <w:r>
        <w:rPr>
          <w:rFonts w:ascii="Arial" w:hAnsi="Arial" w:cs="Arial"/>
          <w:bCs/>
        </w:rPr>
        <w:t>In 2020, a</w:t>
      </w:r>
      <w:r w:rsidR="004D71A9">
        <w:rPr>
          <w:rFonts w:ascii="Arial" w:hAnsi="Arial" w:cs="Arial"/>
          <w:bCs/>
        </w:rPr>
        <w:t>t the start of the pandemic</w:t>
      </w:r>
      <w:r w:rsidR="00427304">
        <w:rPr>
          <w:rFonts w:ascii="Arial" w:hAnsi="Arial" w:cs="Arial"/>
          <w:bCs/>
        </w:rPr>
        <w:t>, Metro</w:t>
      </w:r>
      <w:r w:rsidR="004D71A9">
        <w:rPr>
          <w:rFonts w:ascii="Arial" w:hAnsi="Arial" w:cs="Arial"/>
          <w:bCs/>
        </w:rPr>
        <w:t xml:space="preserve">’s sales tax and fare revenues dropped </w:t>
      </w:r>
      <w:r w:rsidR="009F7349">
        <w:rPr>
          <w:rFonts w:ascii="Arial" w:hAnsi="Arial" w:cs="Arial"/>
          <w:bCs/>
        </w:rPr>
        <w:t xml:space="preserve">sharply, while operating expenses increased due to the need for more frequent deep cleaning of vehicles and the imposition of social distancing load limits on buses. </w:t>
      </w:r>
      <w:r w:rsidR="00427304">
        <w:rPr>
          <w:rFonts w:ascii="Arial" w:hAnsi="Arial" w:cs="Arial"/>
          <w:bCs/>
        </w:rPr>
        <w:t xml:space="preserve">In response, the </w:t>
      </w:r>
      <w:r w:rsidR="00FD1A29">
        <w:rPr>
          <w:rFonts w:ascii="Arial" w:hAnsi="Arial" w:cs="Arial"/>
          <w:bCs/>
        </w:rPr>
        <w:t xml:space="preserve">2021-2022 </w:t>
      </w:r>
      <w:r w:rsidR="00427304">
        <w:rPr>
          <w:rFonts w:ascii="Arial" w:hAnsi="Arial" w:cs="Arial"/>
          <w:bCs/>
        </w:rPr>
        <w:t>budget</w:t>
      </w:r>
      <w:r w:rsidR="007C386C">
        <w:rPr>
          <w:rFonts w:ascii="Arial" w:hAnsi="Arial" w:cs="Arial"/>
          <w:bCs/>
        </w:rPr>
        <w:t>,</w:t>
      </w:r>
      <w:r w:rsidR="004D71A9">
        <w:rPr>
          <w:rStyle w:val="FootnoteReference"/>
          <w:rFonts w:ascii="Arial" w:hAnsi="Arial" w:cs="Arial"/>
          <w:bCs/>
        </w:rPr>
        <w:footnoteReference w:id="3"/>
      </w:r>
      <w:r w:rsidR="00427304">
        <w:rPr>
          <w:rFonts w:ascii="Arial" w:hAnsi="Arial" w:cs="Arial"/>
          <w:bCs/>
        </w:rPr>
        <w:t xml:space="preserve"> as </w:t>
      </w:r>
      <w:r w:rsidR="00FD1A29">
        <w:rPr>
          <w:rFonts w:ascii="Arial" w:hAnsi="Arial" w:cs="Arial"/>
          <w:bCs/>
        </w:rPr>
        <w:t xml:space="preserve">originally </w:t>
      </w:r>
      <w:r w:rsidR="00427304">
        <w:rPr>
          <w:rFonts w:ascii="Arial" w:hAnsi="Arial" w:cs="Arial"/>
          <w:bCs/>
        </w:rPr>
        <w:t>adopted</w:t>
      </w:r>
      <w:r w:rsidR="006D3E25">
        <w:rPr>
          <w:rFonts w:ascii="Arial" w:hAnsi="Arial" w:cs="Arial"/>
          <w:bCs/>
        </w:rPr>
        <w:t>,</w:t>
      </w:r>
      <w:r w:rsidR="00427304">
        <w:rPr>
          <w:rFonts w:ascii="Arial" w:hAnsi="Arial" w:cs="Arial"/>
          <w:bCs/>
        </w:rPr>
        <w:t xml:space="preserve"> </w:t>
      </w:r>
      <w:r w:rsidR="00D945DD">
        <w:rPr>
          <w:rFonts w:ascii="Arial" w:hAnsi="Arial" w:cs="Arial"/>
          <w:bCs/>
        </w:rPr>
        <w:t>made cuts to staff</w:t>
      </w:r>
      <w:r>
        <w:rPr>
          <w:rFonts w:ascii="Arial" w:hAnsi="Arial" w:cs="Arial"/>
          <w:bCs/>
        </w:rPr>
        <w:t>,</w:t>
      </w:r>
      <w:r w:rsidR="00D945DD">
        <w:rPr>
          <w:rFonts w:ascii="Arial" w:hAnsi="Arial" w:cs="Arial"/>
          <w:bCs/>
        </w:rPr>
        <w:t xml:space="preserve"> </w:t>
      </w:r>
      <w:r>
        <w:rPr>
          <w:rFonts w:ascii="Arial" w:hAnsi="Arial" w:cs="Arial"/>
          <w:bCs/>
        </w:rPr>
        <w:t>service,</w:t>
      </w:r>
      <w:r w:rsidR="00D945DD">
        <w:rPr>
          <w:rFonts w:ascii="Arial" w:hAnsi="Arial" w:cs="Arial"/>
          <w:bCs/>
        </w:rPr>
        <w:t xml:space="preserve"> </w:t>
      </w:r>
      <w:r>
        <w:rPr>
          <w:rFonts w:ascii="Arial" w:hAnsi="Arial" w:cs="Arial"/>
          <w:bCs/>
        </w:rPr>
        <w:t xml:space="preserve">and capital </w:t>
      </w:r>
      <w:r w:rsidR="00B00997">
        <w:rPr>
          <w:rFonts w:ascii="Arial" w:hAnsi="Arial" w:cs="Arial"/>
          <w:bCs/>
        </w:rPr>
        <w:t>investments</w:t>
      </w:r>
      <w:r>
        <w:rPr>
          <w:rFonts w:ascii="Arial" w:hAnsi="Arial" w:cs="Arial"/>
          <w:bCs/>
        </w:rPr>
        <w:t xml:space="preserve">, </w:t>
      </w:r>
      <w:r w:rsidR="00D945DD">
        <w:rPr>
          <w:rFonts w:ascii="Arial" w:hAnsi="Arial" w:cs="Arial"/>
          <w:bCs/>
        </w:rPr>
        <w:t xml:space="preserve">and </w:t>
      </w:r>
      <w:r w:rsidR="00F74437">
        <w:rPr>
          <w:rFonts w:ascii="Arial" w:hAnsi="Arial" w:cs="Arial"/>
          <w:bCs/>
        </w:rPr>
        <w:t>called for</w:t>
      </w:r>
      <w:r w:rsidR="00427304">
        <w:rPr>
          <w:rFonts w:ascii="Arial" w:hAnsi="Arial" w:cs="Arial"/>
          <w:bCs/>
        </w:rPr>
        <w:t xml:space="preserve"> </w:t>
      </w:r>
      <w:r w:rsidR="009D3E21">
        <w:rPr>
          <w:rFonts w:ascii="Arial" w:hAnsi="Arial" w:cs="Arial"/>
          <w:bCs/>
        </w:rPr>
        <w:t xml:space="preserve">undesignated </w:t>
      </w:r>
      <w:r w:rsidR="00427304">
        <w:rPr>
          <w:rFonts w:ascii="Arial" w:hAnsi="Arial" w:cs="Arial"/>
          <w:bCs/>
        </w:rPr>
        <w:t xml:space="preserve">fund balance </w:t>
      </w:r>
      <w:r w:rsidR="006D3E25">
        <w:rPr>
          <w:rFonts w:ascii="Arial" w:hAnsi="Arial" w:cs="Arial"/>
          <w:bCs/>
        </w:rPr>
        <w:t xml:space="preserve">to be </w:t>
      </w:r>
      <w:r w:rsidR="00427304">
        <w:rPr>
          <w:rFonts w:ascii="Arial" w:hAnsi="Arial" w:cs="Arial"/>
          <w:bCs/>
        </w:rPr>
        <w:t>drawn down over several biennia to cover the gap</w:t>
      </w:r>
      <w:r w:rsidR="00F74437">
        <w:rPr>
          <w:rFonts w:ascii="Arial" w:hAnsi="Arial" w:cs="Arial"/>
          <w:bCs/>
        </w:rPr>
        <w:t xml:space="preserve"> between revenues and expenditures</w:t>
      </w:r>
      <w:r w:rsidR="00427304">
        <w:rPr>
          <w:rFonts w:ascii="Arial" w:hAnsi="Arial" w:cs="Arial"/>
          <w:szCs w:val="24"/>
        </w:rPr>
        <w:t xml:space="preserve">. Metro predicted that this drawdown would lead to a “fiscal cliff” by 2025 that would require a cut of 500,000 annual transit service hours, </w:t>
      </w:r>
      <w:r w:rsidR="003B12CC">
        <w:rPr>
          <w:rFonts w:ascii="Arial" w:hAnsi="Arial" w:cs="Arial"/>
          <w:szCs w:val="24"/>
        </w:rPr>
        <w:t xml:space="preserve">or </w:t>
      </w:r>
      <w:r w:rsidR="00427304">
        <w:rPr>
          <w:rFonts w:ascii="Arial" w:hAnsi="Arial" w:cs="Arial"/>
          <w:szCs w:val="24"/>
        </w:rPr>
        <w:t>approximately 1</w:t>
      </w:r>
      <w:r w:rsidR="005E0C51">
        <w:rPr>
          <w:rFonts w:ascii="Arial" w:hAnsi="Arial" w:cs="Arial"/>
          <w:szCs w:val="24"/>
        </w:rPr>
        <w:t>1</w:t>
      </w:r>
      <w:r w:rsidR="00427304">
        <w:rPr>
          <w:rFonts w:ascii="Arial" w:hAnsi="Arial" w:cs="Arial"/>
          <w:szCs w:val="24"/>
        </w:rPr>
        <w:t xml:space="preserve"> percent of the system.</w:t>
      </w:r>
    </w:p>
    <w:p w14:paraId="553A8BD8" w14:textId="77777777" w:rsidR="00427304" w:rsidRDefault="00427304" w:rsidP="00427304">
      <w:pPr>
        <w:spacing w:line="264" w:lineRule="auto"/>
        <w:contextualSpacing/>
        <w:jc w:val="both"/>
        <w:rPr>
          <w:rFonts w:ascii="Arial" w:hAnsi="Arial" w:cs="Arial"/>
          <w:szCs w:val="24"/>
        </w:rPr>
      </w:pPr>
    </w:p>
    <w:p w14:paraId="35E45C7C" w14:textId="07B593E6" w:rsidR="00AD69DE" w:rsidRPr="008B7853" w:rsidRDefault="00ED41CC" w:rsidP="00AD69DE">
      <w:pPr>
        <w:spacing w:line="264" w:lineRule="auto"/>
        <w:contextualSpacing/>
        <w:jc w:val="both"/>
        <w:rPr>
          <w:rFonts w:ascii="Arial" w:hAnsi="Arial" w:cs="Arial"/>
          <w:szCs w:val="24"/>
        </w:rPr>
      </w:pPr>
      <w:r>
        <w:rPr>
          <w:rFonts w:ascii="Arial" w:hAnsi="Arial" w:cs="Arial"/>
          <w:bCs/>
        </w:rPr>
        <w:t xml:space="preserve">As </w:t>
      </w:r>
      <w:r w:rsidR="00E709D9">
        <w:rPr>
          <w:rFonts w:ascii="Arial" w:hAnsi="Arial" w:cs="Arial"/>
          <w:bCs/>
        </w:rPr>
        <w:t xml:space="preserve">sales tax collections rebounded </w:t>
      </w:r>
      <w:r>
        <w:rPr>
          <w:rFonts w:ascii="Arial" w:hAnsi="Arial" w:cs="Arial"/>
          <w:bCs/>
        </w:rPr>
        <w:t xml:space="preserve">during </w:t>
      </w:r>
      <w:r w:rsidR="00FD1A29">
        <w:rPr>
          <w:rFonts w:ascii="Arial" w:hAnsi="Arial" w:cs="Arial"/>
          <w:bCs/>
        </w:rPr>
        <w:t>2021</w:t>
      </w:r>
      <w:r>
        <w:rPr>
          <w:rFonts w:ascii="Arial" w:hAnsi="Arial" w:cs="Arial"/>
          <w:bCs/>
        </w:rPr>
        <w:t xml:space="preserve"> and Metro received </w:t>
      </w:r>
      <w:r w:rsidR="0010314E">
        <w:rPr>
          <w:rFonts w:ascii="Arial" w:hAnsi="Arial" w:cs="Arial"/>
          <w:bCs/>
        </w:rPr>
        <w:t xml:space="preserve">additional </w:t>
      </w:r>
      <w:r w:rsidR="00427304">
        <w:rPr>
          <w:rFonts w:ascii="Arial" w:hAnsi="Arial" w:cs="Arial"/>
          <w:bCs/>
        </w:rPr>
        <w:t xml:space="preserve">federal relief </w:t>
      </w:r>
      <w:r>
        <w:rPr>
          <w:rFonts w:ascii="Arial" w:hAnsi="Arial" w:cs="Arial"/>
          <w:bCs/>
        </w:rPr>
        <w:t>funding</w:t>
      </w:r>
      <w:r w:rsidR="00A172C9">
        <w:rPr>
          <w:rFonts w:ascii="Arial" w:hAnsi="Arial" w:cs="Arial"/>
          <w:bCs/>
        </w:rPr>
        <w:t>,</w:t>
      </w:r>
      <w:r w:rsidR="00427304">
        <w:rPr>
          <w:rStyle w:val="FootnoteReference"/>
          <w:rFonts w:ascii="Arial" w:hAnsi="Arial" w:cs="Arial"/>
          <w:bCs/>
        </w:rPr>
        <w:footnoteReference w:id="4"/>
      </w:r>
      <w:r w:rsidR="00427304">
        <w:rPr>
          <w:rFonts w:ascii="Arial" w:hAnsi="Arial" w:cs="Arial"/>
          <w:bCs/>
        </w:rPr>
        <w:t xml:space="preserve"> Metro’s revenue estimates </w:t>
      </w:r>
      <w:r w:rsidR="00427304" w:rsidRPr="008A35B7">
        <w:rPr>
          <w:rFonts w:ascii="Arial" w:hAnsi="Arial" w:cs="Arial"/>
          <w:bCs/>
        </w:rPr>
        <w:t>increased</w:t>
      </w:r>
      <w:r w:rsidR="00BE3795">
        <w:rPr>
          <w:rFonts w:ascii="Arial" w:hAnsi="Arial" w:cs="Arial"/>
          <w:bCs/>
        </w:rPr>
        <w:t xml:space="preserve">. </w:t>
      </w:r>
      <w:r w:rsidR="006152D5">
        <w:rPr>
          <w:rFonts w:ascii="Arial" w:hAnsi="Arial" w:cs="Arial"/>
          <w:bCs/>
        </w:rPr>
        <w:t xml:space="preserve">In </w:t>
      </w:r>
      <w:r w:rsidR="00BE3795">
        <w:rPr>
          <w:rFonts w:ascii="Arial" w:hAnsi="Arial" w:cs="Arial"/>
          <w:bCs/>
        </w:rPr>
        <w:t xml:space="preserve">the </w:t>
      </w:r>
      <w:r w:rsidR="00C1297A">
        <w:rPr>
          <w:rFonts w:ascii="Arial" w:hAnsi="Arial" w:cs="Arial"/>
          <w:bCs/>
        </w:rPr>
        <w:t>mid-biennial budget omnibus</w:t>
      </w:r>
      <w:r w:rsidR="006152D5">
        <w:rPr>
          <w:rFonts w:ascii="Arial" w:hAnsi="Arial" w:cs="Arial"/>
          <w:bCs/>
        </w:rPr>
        <w:t>,</w:t>
      </w:r>
      <w:r w:rsidR="00C1297A">
        <w:rPr>
          <w:rStyle w:val="FootnoteReference"/>
          <w:rFonts w:ascii="Arial" w:hAnsi="Arial" w:cs="Arial"/>
          <w:bCs/>
        </w:rPr>
        <w:footnoteReference w:id="5"/>
      </w:r>
      <w:r w:rsidR="00C1297A" w:rsidRPr="008A35B7">
        <w:rPr>
          <w:rFonts w:ascii="Arial" w:hAnsi="Arial" w:cs="Arial"/>
          <w:bCs/>
        </w:rPr>
        <w:t xml:space="preserve"> </w:t>
      </w:r>
      <w:r w:rsidR="006152D5">
        <w:rPr>
          <w:rFonts w:ascii="Arial" w:hAnsi="Arial" w:cs="Arial"/>
          <w:bCs/>
        </w:rPr>
        <w:t xml:space="preserve">which </w:t>
      </w:r>
      <w:r w:rsidR="00C1297A">
        <w:rPr>
          <w:rFonts w:ascii="Arial" w:hAnsi="Arial" w:cs="Arial"/>
          <w:bCs/>
        </w:rPr>
        <w:t>was adopted</w:t>
      </w:r>
      <w:r w:rsidR="000367FD">
        <w:rPr>
          <w:rFonts w:ascii="Arial" w:hAnsi="Arial" w:cs="Arial"/>
          <w:bCs/>
        </w:rPr>
        <w:t xml:space="preserve"> in late 2021</w:t>
      </w:r>
      <w:r w:rsidR="00C1297A">
        <w:rPr>
          <w:rFonts w:ascii="Arial" w:hAnsi="Arial" w:cs="Arial"/>
          <w:bCs/>
        </w:rPr>
        <w:t xml:space="preserve">, </w:t>
      </w:r>
      <w:r w:rsidR="00427304">
        <w:rPr>
          <w:rFonts w:ascii="Arial" w:hAnsi="Arial" w:cs="Arial"/>
          <w:bCs/>
        </w:rPr>
        <w:t>Metro propose</w:t>
      </w:r>
      <w:r w:rsidR="00E166D3">
        <w:rPr>
          <w:rFonts w:ascii="Arial" w:hAnsi="Arial" w:cs="Arial"/>
          <w:bCs/>
        </w:rPr>
        <w:t>d</w:t>
      </w:r>
      <w:r w:rsidR="00427304">
        <w:rPr>
          <w:rFonts w:ascii="Arial" w:hAnsi="Arial" w:cs="Arial"/>
          <w:bCs/>
        </w:rPr>
        <w:t xml:space="preserve"> to use the increased revenues to support ongoing service and capital needs</w:t>
      </w:r>
      <w:r w:rsidR="00175C76">
        <w:rPr>
          <w:rFonts w:ascii="Arial" w:hAnsi="Arial" w:cs="Arial"/>
          <w:bCs/>
        </w:rPr>
        <w:t xml:space="preserve">, thus avoiding the </w:t>
      </w:r>
      <w:r w:rsidR="00E16B11">
        <w:rPr>
          <w:rFonts w:ascii="Arial" w:hAnsi="Arial" w:cs="Arial"/>
          <w:szCs w:val="24"/>
        </w:rPr>
        <w:t xml:space="preserve">2025 </w:t>
      </w:r>
      <w:r w:rsidR="00427304" w:rsidRPr="00D75342">
        <w:rPr>
          <w:rFonts w:ascii="Arial" w:hAnsi="Arial" w:cs="Arial"/>
          <w:szCs w:val="24"/>
        </w:rPr>
        <w:t>“fiscal cliff” reduction in service</w:t>
      </w:r>
      <w:r w:rsidR="00427304">
        <w:rPr>
          <w:rFonts w:ascii="Arial" w:hAnsi="Arial" w:cs="Arial"/>
          <w:szCs w:val="24"/>
        </w:rPr>
        <w:t xml:space="preserve">. </w:t>
      </w:r>
      <w:r w:rsidR="0017724A">
        <w:rPr>
          <w:rFonts w:ascii="Arial" w:hAnsi="Arial" w:cs="Arial"/>
          <w:szCs w:val="24"/>
        </w:rPr>
        <w:t xml:space="preserve">Much of this revenue </w:t>
      </w:r>
      <w:r w:rsidR="00167206">
        <w:rPr>
          <w:rFonts w:ascii="Arial" w:hAnsi="Arial" w:cs="Arial"/>
          <w:szCs w:val="24"/>
        </w:rPr>
        <w:t xml:space="preserve">was </w:t>
      </w:r>
      <w:r w:rsidR="008F1804">
        <w:rPr>
          <w:rFonts w:ascii="Arial" w:hAnsi="Arial" w:cs="Arial"/>
          <w:szCs w:val="24"/>
        </w:rPr>
        <w:t>not immediately appropriated</w:t>
      </w:r>
      <w:r w:rsidR="0040534E">
        <w:rPr>
          <w:rFonts w:ascii="Arial" w:hAnsi="Arial" w:cs="Arial"/>
          <w:szCs w:val="24"/>
        </w:rPr>
        <w:t>, but rather set aside</w:t>
      </w:r>
      <w:r w:rsidR="008F1804">
        <w:rPr>
          <w:rFonts w:ascii="Arial" w:hAnsi="Arial" w:cs="Arial"/>
          <w:szCs w:val="24"/>
        </w:rPr>
        <w:t xml:space="preserve"> so that appropriation decisions could be made in the context of the 2023-2024 budget process.</w:t>
      </w:r>
      <w:r w:rsidR="00D07F25">
        <w:rPr>
          <w:rFonts w:ascii="Arial" w:hAnsi="Arial" w:cs="Arial"/>
          <w:szCs w:val="24"/>
        </w:rPr>
        <w:t xml:space="preserve"> </w:t>
      </w:r>
      <w:r w:rsidR="004F1309">
        <w:rPr>
          <w:rFonts w:ascii="Arial" w:hAnsi="Arial" w:cs="Arial"/>
          <w:szCs w:val="24"/>
        </w:rPr>
        <w:t>D</w:t>
      </w:r>
      <w:r w:rsidR="00AD69DE">
        <w:rPr>
          <w:rFonts w:ascii="Arial" w:hAnsi="Arial" w:cs="Arial"/>
          <w:szCs w:val="24"/>
        </w:rPr>
        <w:t>uring 2023-2024</w:t>
      </w:r>
      <w:r w:rsidR="004F1309">
        <w:rPr>
          <w:rFonts w:ascii="Arial" w:hAnsi="Arial" w:cs="Arial"/>
          <w:szCs w:val="24"/>
        </w:rPr>
        <w:t>,</w:t>
      </w:r>
      <w:r w:rsidR="00AD69DE">
        <w:rPr>
          <w:rFonts w:ascii="Arial" w:hAnsi="Arial" w:cs="Arial"/>
          <w:szCs w:val="24"/>
        </w:rPr>
        <w:t xml:space="preserve"> Metro is proposing to spend $134 million more than revenues</w:t>
      </w:r>
      <w:r w:rsidR="00D63FAE">
        <w:rPr>
          <w:rFonts w:ascii="Arial" w:hAnsi="Arial" w:cs="Arial"/>
          <w:szCs w:val="24"/>
        </w:rPr>
        <w:t xml:space="preserve"> in its operating budget</w:t>
      </w:r>
      <w:r w:rsidR="000D1626">
        <w:rPr>
          <w:rFonts w:ascii="Arial" w:hAnsi="Arial" w:cs="Arial"/>
          <w:szCs w:val="24"/>
        </w:rPr>
        <w:t xml:space="preserve">, with the difference made up </w:t>
      </w:r>
      <w:r w:rsidR="00D63FAE">
        <w:rPr>
          <w:rFonts w:ascii="Arial" w:hAnsi="Arial" w:cs="Arial"/>
          <w:szCs w:val="24"/>
        </w:rPr>
        <w:t>from</w:t>
      </w:r>
      <w:r w:rsidR="000D1626">
        <w:rPr>
          <w:rFonts w:ascii="Arial" w:hAnsi="Arial" w:cs="Arial"/>
          <w:szCs w:val="24"/>
        </w:rPr>
        <w:t xml:space="preserve"> fund balance </w:t>
      </w:r>
      <w:r w:rsidR="00D63FAE">
        <w:rPr>
          <w:rFonts w:ascii="Arial" w:hAnsi="Arial" w:cs="Arial"/>
          <w:szCs w:val="24"/>
        </w:rPr>
        <w:t xml:space="preserve">comprised of some of </w:t>
      </w:r>
      <w:r w:rsidR="000D1626">
        <w:rPr>
          <w:rFonts w:ascii="Arial" w:hAnsi="Arial" w:cs="Arial"/>
          <w:szCs w:val="24"/>
        </w:rPr>
        <w:t xml:space="preserve">the additional revenues </w:t>
      </w:r>
      <w:r w:rsidR="00200C4A">
        <w:rPr>
          <w:rFonts w:ascii="Arial" w:hAnsi="Arial" w:cs="Arial"/>
          <w:szCs w:val="24"/>
        </w:rPr>
        <w:t>that were set aside in 2021.</w:t>
      </w:r>
      <w:r w:rsidR="00AD69DE">
        <w:rPr>
          <w:rFonts w:ascii="Arial" w:hAnsi="Arial" w:cs="Arial"/>
          <w:szCs w:val="24"/>
        </w:rPr>
        <w:t xml:space="preserve"> </w:t>
      </w:r>
    </w:p>
    <w:p w14:paraId="14BCBFB1" w14:textId="77777777" w:rsidR="00AD69DE" w:rsidRPr="003C3AEE" w:rsidRDefault="00AD69DE" w:rsidP="00AD69DE">
      <w:pPr>
        <w:spacing w:line="264" w:lineRule="auto"/>
        <w:contextualSpacing/>
        <w:jc w:val="both"/>
        <w:rPr>
          <w:rFonts w:ascii="Arial" w:hAnsi="Arial" w:cs="Arial"/>
          <w:szCs w:val="24"/>
          <w:highlight w:val="yellow"/>
        </w:rPr>
      </w:pPr>
    </w:p>
    <w:p w14:paraId="6EC3CE64" w14:textId="7EB4AF8D" w:rsidR="003C3AEE" w:rsidRPr="005B4DD5" w:rsidRDefault="00502AA1" w:rsidP="003C3AEE">
      <w:pPr>
        <w:spacing w:line="264" w:lineRule="auto"/>
        <w:contextualSpacing/>
        <w:jc w:val="both"/>
        <w:rPr>
          <w:rFonts w:ascii="Arial" w:hAnsi="Arial" w:cs="Arial"/>
          <w:szCs w:val="24"/>
        </w:rPr>
      </w:pPr>
      <w:r>
        <w:rPr>
          <w:rFonts w:ascii="Arial" w:hAnsi="Arial" w:cs="Arial"/>
          <w:szCs w:val="24"/>
        </w:rPr>
        <w:lastRenderedPageBreak/>
        <w:t>The</w:t>
      </w:r>
      <w:r w:rsidR="003C3AEE" w:rsidRPr="005B4DD5">
        <w:rPr>
          <w:rFonts w:ascii="Arial" w:hAnsi="Arial" w:cs="Arial"/>
          <w:szCs w:val="24"/>
        </w:rPr>
        <w:t xml:space="preserve"> proposed 202</w:t>
      </w:r>
      <w:r w:rsidR="000672B1" w:rsidRPr="005B4DD5">
        <w:rPr>
          <w:rFonts w:ascii="Arial" w:hAnsi="Arial" w:cs="Arial"/>
          <w:szCs w:val="24"/>
        </w:rPr>
        <w:t>3</w:t>
      </w:r>
      <w:r w:rsidR="003C3AEE" w:rsidRPr="005B4DD5">
        <w:rPr>
          <w:rFonts w:ascii="Arial" w:hAnsi="Arial" w:cs="Arial"/>
          <w:szCs w:val="24"/>
        </w:rPr>
        <w:t>-202</w:t>
      </w:r>
      <w:r w:rsidR="000672B1" w:rsidRPr="005B4DD5">
        <w:rPr>
          <w:rFonts w:ascii="Arial" w:hAnsi="Arial" w:cs="Arial"/>
          <w:szCs w:val="24"/>
        </w:rPr>
        <w:t>4</w:t>
      </w:r>
      <w:r w:rsidR="003C3AEE" w:rsidRPr="005B4DD5">
        <w:rPr>
          <w:rFonts w:ascii="Arial" w:hAnsi="Arial" w:cs="Arial"/>
          <w:szCs w:val="24"/>
        </w:rPr>
        <w:t xml:space="preserve"> budget </w:t>
      </w:r>
      <w:r w:rsidR="00B12B5A">
        <w:rPr>
          <w:rFonts w:ascii="Arial" w:hAnsi="Arial" w:cs="Arial"/>
          <w:szCs w:val="24"/>
        </w:rPr>
        <w:t>is</w:t>
      </w:r>
      <w:r w:rsidR="003C3AEE" w:rsidRPr="005B4DD5">
        <w:rPr>
          <w:rFonts w:ascii="Arial" w:hAnsi="Arial" w:cs="Arial"/>
          <w:szCs w:val="24"/>
        </w:rPr>
        <w:t xml:space="preserve"> consistent with </w:t>
      </w:r>
      <w:r>
        <w:rPr>
          <w:rFonts w:ascii="Arial" w:hAnsi="Arial" w:cs="Arial"/>
          <w:szCs w:val="24"/>
        </w:rPr>
        <w:t>Metro’s</w:t>
      </w:r>
      <w:r w:rsidR="0000568F">
        <w:rPr>
          <w:rFonts w:ascii="Arial" w:hAnsi="Arial" w:cs="Arial"/>
          <w:szCs w:val="24"/>
        </w:rPr>
        <w:t xml:space="preserve"> adopted</w:t>
      </w:r>
      <w:r w:rsidR="003C3AEE" w:rsidRPr="005B4DD5">
        <w:rPr>
          <w:rFonts w:ascii="Arial" w:hAnsi="Arial" w:cs="Arial"/>
          <w:szCs w:val="24"/>
        </w:rPr>
        <w:t xml:space="preserve"> fund management policies,</w:t>
      </w:r>
      <w:r w:rsidR="003C3AEE" w:rsidRPr="005B4DD5">
        <w:rPr>
          <w:rStyle w:val="FootnoteReference"/>
          <w:rFonts w:ascii="Arial" w:hAnsi="Arial" w:cs="Arial"/>
          <w:szCs w:val="24"/>
        </w:rPr>
        <w:footnoteReference w:id="6"/>
      </w:r>
      <w:r w:rsidR="003C3AEE" w:rsidRPr="005B4DD5">
        <w:rPr>
          <w:rFonts w:ascii="Arial" w:hAnsi="Arial" w:cs="Arial"/>
          <w:szCs w:val="24"/>
        </w:rPr>
        <w:t xml:space="preserve"> </w:t>
      </w:r>
      <w:r w:rsidR="00D523E7" w:rsidRPr="005B4DD5">
        <w:rPr>
          <w:rFonts w:ascii="Arial" w:hAnsi="Arial" w:cs="Arial"/>
          <w:szCs w:val="24"/>
        </w:rPr>
        <w:t>except for</w:t>
      </w:r>
      <w:r w:rsidR="003C3AEE" w:rsidRPr="005B4DD5">
        <w:rPr>
          <w:rFonts w:ascii="Arial" w:hAnsi="Arial" w:cs="Arial"/>
          <w:szCs w:val="24"/>
        </w:rPr>
        <w:t xml:space="preserve"> the farebox recovery requirement and the order in which expenditures would be made</w:t>
      </w:r>
      <w:r w:rsidR="00F00A09">
        <w:rPr>
          <w:rFonts w:ascii="Arial" w:hAnsi="Arial" w:cs="Arial"/>
          <w:szCs w:val="24"/>
        </w:rPr>
        <w:t>,</w:t>
      </w:r>
      <w:r w:rsidR="0043183D">
        <w:rPr>
          <w:rStyle w:val="FootnoteReference"/>
          <w:rFonts w:ascii="Arial" w:hAnsi="Arial" w:cs="Arial"/>
          <w:szCs w:val="24"/>
        </w:rPr>
        <w:footnoteReference w:id="7"/>
      </w:r>
      <w:r w:rsidR="003C3AEE" w:rsidRPr="005B4DD5">
        <w:rPr>
          <w:rFonts w:ascii="Arial" w:hAnsi="Arial" w:cs="Arial"/>
          <w:szCs w:val="24"/>
        </w:rPr>
        <w:t xml:space="preserve"> and </w:t>
      </w:r>
      <w:r w:rsidR="00B12B5A">
        <w:rPr>
          <w:rFonts w:ascii="Arial" w:hAnsi="Arial" w:cs="Arial"/>
          <w:szCs w:val="24"/>
        </w:rPr>
        <w:t>would</w:t>
      </w:r>
      <w:r w:rsidR="0009385F">
        <w:rPr>
          <w:rFonts w:ascii="Arial" w:hAnsi="Arial" w:cs="Arial"/>
          <w:szCs w:val="24"/>
        </w:rPr>
        <w:t xml:space="preserve"> </w:t>
      </w:r>
      <w:r w:rsidR="003C3AEE" w:rsidRPr="005B4DD5">
        <w:rPr>
          <w:rFonts w:ascii="Arial" w:hAnsi="Arial" w:cs="Arial"/>
          <w:szCs w:val="24"/>
        </w:rPr>
        <w:t xml:space="preserve">meet required reserve levels over the 10-year financial plan. </w:t>
      </w:r>
    </w:p>
    <w:p w14:paraId="68D1D288" w14:textId="77777777" w:rsidR="003C3AEE" w:rsidRPr="003C3AEE" w:rsidRDefault="003C3AEE" w:rsidP="003C3AEE">
      <w:pPr>
        <w:spacing w:line="264" w:lineRule="auto"/>
        <w:contextualSpacing/>
        <w:jc w:val="both"/>
        <w:rPr>
          <w:rFonts w:ascii="Arial" w:hAnsi="Arial" w:cs="Arial"/>
          <w:szCs w:val="24"/>
          <w:highlight w:val="yellow"/>
        </w:rPr>
      </w:pPr>
    </w:p>
    <w:p w14:paraId="734994B0" w14:textId="42A19C36" w:rsidR="003C3AEE" w:rsidRPr="00153CFD" w:rsidRDefault="003C3AEE" w:rsidP="003C3AEE">
      <w:pPr>
        <w:spacing w:line="264" w:lineRule="auto"/>
        <w:contextualSpacing/>
        <w:jc w:val="both"/>
        <w:rPr>
          <w:rFonts w:ascii="Arial" w:hAnsi="Arial" w:cs="Arial"/>
          <w:b/>
          <w:szCs w:val="24"/>
          <w:u w:val="single"/>
        </w:rPr>
      </w:pPr>
      <w:r w:rsidRPr="00153CFD">
        <w:rPr>
          <w:rFonts w:ascii="Arial" w:hAnsi="Arial" w:cs="Arial"/>
          <w:b/>
          <w:szCs w:val="24"/>
          <w:u w:val="single"/>
        </w:rPr>
        <w:t xml:space="preserve">Fund </w:t>
      </w:r>
      <w:r w:rsidR="0066510F">
        <w:rPr>
          <w:rFonts w:ascii="Arial" w:hAnsi="Arial" w:cs="Arial"/>
          <w:b/>
          <w:szCs w:val="24"/>
          <w:u w:val="single"/>
        </w:rPr>
        <w:t xml:space="preserve">Structure and Fund </w:t>
      </w:r>
      <w:r w:rsidRPr="00153CFD">
        <w:rPr>
          <w:rFonts w:ascii="Arial" w:hAnsi="Arial" w:cs="Arial"/>
          <w:b/>
          <w:szCs w:val="24"/>
          <w:u w:val="single"/>
        </w:rPr>
        <w:t xml:space="preserve">Management Policies </w:t>
      </w:r>
    </w:p>
    <w:p w14:paraId="68DA15FA" w14:textId="77777777" w:rsidR="003C3AEE" w:rsidRPr="00153CFD" w:rsidRDefault="003C3AEE" w:rsidP="003C3AEE">
      <w:pPr>
        <w:spacing w:line="264" w:lineRule="auto"/>
        <w:contextualSpacing/>
        <w:jc w:val="both"/>
        <w:rPr>
          <w:rFonts w:ascii="Arial" w:hAnsi="Arial" w:cs="Arial"/>
          <w:szCs w:val="24"/>
        </w:rPr>
      </w:pPr>
    </w:p>
    <w:p w14:paraId="358DADC3" w14:textId="5F49D774" w:rsidR="003C3AEE" w:rsidRPr="008A07C1" w:rsidRDefault="003C3AEE" w:rsidP="003C3AEE">
      <w:pPr>
        <w:spacing w:line="264" w:lineRule="auto"/>
        <w:contextualSpacing/>
        <w:jc w:val="both"/>
        <w:rPr>
          <w:rFonts w:ascii="Arial" w:hAnsi="Arial" w:cs="Arial"/>
          <w:szCs w:val="24"/>
        </w:rPr>
      </w:pPr>
      <w:r w:rsidRPr="008A07C1">
        <w:rPr>
          <w:rFonts w:ascii="Arial" w:hAnsi="Arial" w:cs="Arial"/>
          <w:b/>
          <w:szCs w:val="24"/>
        </w:rPr>
        <w:t>Fund Structure</w:t>
      </w:r>
      <w:r w:rsidR="005A3D08">
        <w:rPr>
          <w:rFonts w:ascii="Arial" w:hAnsi="Arial" w:cs="Arial"/>
          <w:b/>
          <w:szCs w:val="24"/>
        </w:rPr>
        <w:t xml:space="preserve">. </w:t>
      </w:r>
      <w:r w:rsidRPr="008A07C1">
        <w:rPr>
          <w:rFonts w:ascii="Arial" w:hAnsi="Arial" w:cs="Arial"/>
          <w:szCs w:val="24"/>
        </w:rPr>
        <w:t xml:space="preserve">The Public Transportation Fund has five subfunds: </w:t>
      </w:r>
    </w:p>
    <w:p w14:paraId="174FEBD5" w14:textId="77777777" w:rsidR="003C3AEE" w:rsidRPr="003C3AEE" w:rsidRDefault="003C3AEE" w:rsidP="003C3AEE">
      <w:pPr>
        <w:spacing w:line="264" w:lineRule="auto"/>
        <w:contextualSpacing/>
        <w:jc w:val="both"/>
        <w:rPr>
          <w:rFonts w:ascii="Arial" w:hAnsi="Arial" w:cs="Arial"/>
          <w:szCs w:val="24"/>
          <w:highlight w:val="yellow"/>
        </w:rPr>
      </w:pPr>
    </w:p>
    <w:p w14:paraId="7017039F" w14:textId="425AA506" w:rsidR="003C3AEE" w:rsidRPr="00E65965" w:rsidRDefault="003C3AEE" w:rsidP="003C3AEE">
      <w:pPr>
        <w:pStyle w:val="ListParagraph"/>
        <w:numPr>
          <w:ilvl w:val="0"/>
          <w:numId w:val="6"/>
        </w:numPr>
        <w:spacing w:line="264" w:lineRule="auto"/>
        <w:jc w:val="both"/>
        <w:rPr>
          <w:rFonts w:ascii="Arial" w:hAnsi="Arial" w:cs="Arial"/>
          <w:szCs w:val="24"/>
        </w:rPr>
      </w:pPr>
      <w:r w:rsidRPr="0020700D">
        <w:rPr>
          <w:rFonts w:ascii="Arial" w:hAnsi="Arial" w:cs="Arial"/>
          <w:szCs w:val="24"/>
        </w:rPr>
        <w:t xml:space="preserve">The </w:t>
      </w:r>
      <w:r w:rsidRPr="0020700D">
        <w:rPr>
          <w:rFonts w:ascii="Arial" w:hAnsi="Arial" w:cs="Arial"/>
          <w:b/>
          <w:szCs w:val="24"/>
        </w:rPr>
        <w:t>Operating Subfund</w:t>
      </w:r>
      <w:r w:rsidRPr="0020700D">
        <w:rPr>
          <w:rFonts w:ascii="Arial" w:hAnsi="Arial" w:cs="Arial"/>
          <w:szCs w:val="24"/>
        </w:rPr>
        <w:t xml:space="preserve"> supports the ongoing operation of </w:t>
      </w:r>
      <w:r w:rsidR="00F745A6">
        <w:rPr>
          <w:rFonts w:ascii="Arial" w:hAnsi="Arial" w:cs="Arial"/>
          <w:szCs w:val="24"/>
        </w:rPr>
        <w:t>t</w:t>
      </w:r>
      <w:r w:rsidRPr="0020700D">
        <w:rPr>
          <w:rFonts w:ascii="Arial" w:hAnsi="Arial" w:cs="Arial"/>
          <w:szCs w:val="24"/>
        </w:rPr>
        <w:t>ransit services</w:t>
      </w:r>
      <w:r w:rsidR="00F745A6">
        <w:rPr>
          <w:rFonts w:ascii="Arial" w:hAnsi="Arial" w:cs="Arial"/>
          <w:szCs w:val="24"/>
        </w:rPr>
        <w:t xml:space="preserve"> and includes </w:t>
      </w:r>
      <w:r w:rsidRPr="0020700D">
        <w:rPr>
          <w:rFonts w:ascii="Arial" w:hAnsi="Arial" w:cs="Arial"/>
          <w:szCs w:val="24"/>
        </w:rPr>
        <w:t>direct operating labor and non-labor</w:t>
      </w:r>
      <w:r w:rsidR="00F745A6">
        <w:rPr>
          <w:rFonts w:ascii="Arial" w:hAnsi="Arial" w:cs="Arial"/>
          <w:szCs w:val="24"/>
        </w:rPr>
        <w:t xml:space="preserve"> costs</w:t>
      </w:r>
      <w:r w:rsidRPr="0020700D">
        <w:rPr>
          <w:rFonts w:ascii="Arial" w:hAnsi="Arial" w:cs="Arial"/>
          <w:szCs w:val="24"/>
        </w:rPr>
        <w:t>, administrati</w:t>
      </w:r>
      <w:r w:rsidR="00F745A6">
        <w:rPr>
          <w:rFonts w:ascii="Arial" w:hAnsi="Arial" w:cs="Arial"/>
          <w:szCs w:val="24"/>
        </w:rPr>
        <w:t>ve costs</w:t>
      </w:r>
      <w:r w:rsidRPr="0020700D">
        <w:rPr>
          <w:rFonts w:ascii="Arial" w:hAnsi="Arial" w:cs="Arial"/>
          <w:szCs w:val="24"/>
        </w:rPr>
        <w:t>, and indirect and overhead</w:t>
      </w:r>
      <w:r w:rsidR="00F745A6">
        <w:rPr>
          <w:rFonts w:ascii="Arial" w:hAnsi="Arial" w:cs="Arial"/>
          <w:szCs w:val="24"/>
        </w:rPr>
        <w:t xml:space="preserve"> costs</w:t>
      </w:r>
      <w:r w:rsidRPr="0020700D">
        <w:rPr>
          <w:rFonts w:ascii="Arial" w:hAnsi="Arial" w:cs="Arial"/>
          <w:szCs w:val="24"/>
        </w:rPr>
        <w:t xml:space="preserve">. </w:t>
      </w:r>
      <w:r w:rsidR="006A463A">
        <w:rPr>
          <w:rFonts w:ascii="Arial" w:hAnsi="Arial" w:cs="Arial"/>
          <w:szCs w:val="24"/>
        </w:rPr>
        <w:t xml:space="preserve">For </w:t>
      </w:r>
      <w:r w:rsidRPr="0020700D">
        <w:rPr>
          <w:rFonts w:ascii="Arial" w:hAnsi="Arial" w:cs="Arial"/>
          <w:szCs w:val="24"/>
        </w:rPr>
        <w:t>202</w:t>
      </w:r>
      <w:r w:rsidR="0020700D">
        <w:rPr>
          <w:rFonts w:ascii="Arial" w:hAnsi="Arial" w:cs="Arial"/>
          <w:szCs w:val="24"/>
        </w:rPr>
        <w:t>3</w:t>
      </w:r>
      <w:r w:rsidRPr="0020700D">
        <w:rPr>
          <w:rFonts w:ascii="Arial" w:hAnsi="Arial" w:cs="Arial"/>
          <w:szCs w:val="24"/>
        </w:rPr>
        <w:t>-202</w:t>
      </w:r>
      <w:r w:rsidR="0020700D">
        <w:rPr>
          <w:rFonts w:ascii="Arial" w:hAnsi="Arial" w:cs="Arial"/>
          <w:szCs w:val="24"/>
        </w:rPr>
        <w:t>4</w:t>
      </w:r>
      <w:r w:rsidR="006A463A">
        <w:rPr>
          <w:rFonts w:ascii="Arial" w:hAnsi="Arial" w:cs="Arial"/>
          <w:szCs w:val="24"/>
        </w:rPr>
        <w:t>, the proposed</w:t>
      </w:r>
      <w:r w:rsidRPr="0020700D">
        <w:rPr>
          <w:rFonts w:ascii="Arial" w:hAnsi="Arial" w:cs="Arial"/>
          <w:szCs w:val="24"/>
        </w:rPr>
        <w:t xml:space="preserve"> appropriation is </w:t>
      </w:r>
      <w:r w:rsidRPr="001D0887">
        <w:rPr>
          <w:rFonts w:ascii="Arial" w:hAnsi="Arial" w:cs="Arial"/>
          <w:szCs w:val="24"/>
        </w:rPr>
        <w:t>$2.</w:t>
      </w:r>
      <w:r w:rsidR="00823DB7" w:rsidRPr="001D0887">
        <w:rPr>
          <w:rFonts w:ascii="Arial" w:hAnsi="Arial" w:cs="Arial"/>
          <w:szCs w:val="24"/>
        </w:rPr>
        <w:t>47</w:t>
      </w:r>
      <w:r w:rsidRPr="001D0887">
        <w:rPr>
          <w:rFonts w:ascii="Arial" w:hAnsi="Arial" w:cs="Arial"/>
          <w:szCs w:val="24"/>
        </w:rPr>
        <w:t xml:space="preserve"> billion. </w:t>
      </w:r>
    </w:p>
    <w:p w14:paraId="3DF2E246" w14:textId="77777777" w:rsidR="003C3AEE" w:rsidRPr="00E65965" w:rsidRDefault="003C3AEE" w:rsidP="003C3AEE">
      <w:pPr>
        <w:pStyle w:val="ListParagraph"/>
        <w:spacing w:line="264" w:lineRule="auto"/>
        <w:jc w:val="both"/>
        <w:rPr>
          <w:rFonts w:ascii="Arial" w:hAnsi="Arial" w:cs="Arial"/>
          <w:szCs w:val="24"/>
        </w:rPr>
      </w:pPr>
    </w:p>
    <w:p w14:paraId="29DF667B" w14:textId="36AD8EC8" w:rsidR="003C3AEE" w:rsidRPr="00B16AA6" w:rsidRDefault="003C3AEE" w:rsidP="003C3AEE">
      <w:pPr>
        <w:pStyle w:val="ListParagraph"/>
        <w:numPr>
          <w:ilvl w:val="0"/>
          <w:numId w:val="6"/>
        </w:numPr>
        <w:spacing w:line="264" w:lineRule="auto"/>
        <w:jc w:val="both"/>
        <w:rPr>
          <w:rFonts w:ascii="Arial" w:hAnsi="Arial" w:cs="Arial"/>
          <w:szCs w:val="24"/>
        </w:rPr>
      </w:pPr>
      <w:r w:rsidRPr="003E342C">
        <w:rPr>
          <w:rFonts w:ascii="Arial" w:hAnsi="Arial" w:cs="Arial"/>
          <w:szCs w:val="24"/>
        </w:rPr>
        <w:t xml:space="preserve">The </w:t>
      </w:r>
      <w:r w:rsidRPr="003E342C">
        <w:rPr>
          <w:rFonts w:ascii="Arial Bold" w:hAnsi="Arial Bold" w:cs="Arial"/>
          <w:b/>
          <w:szCs w:val="24"/>
        </w:rPr>
        <w:t>Infrastructure Capital</w:t>
      </w:r>
      <w:r w:rsidRPr="003E342C">
        <w:rPr>
          <w:rFonts w:ascii="Arial" w:hAnsi="Arial" w:cs="Arial"/>
          <w:b/>
          <w:szCs w:val="24"/>
        </w:rPr>
        <w:t xml:space="preserve"> </w:t>
      </w:r>
      <w:r w:rsidRPr="00B16AA6">
        <w:rPr>
          <w:rFonts w:ascii="Arial" w:hAnsi="Arial" w:cs="Arial"/>
          <w:b/>
          <w:szCs w:val="24"/>
        </w:rPr>
        <w:t>Subfund</w:t>
      </w:r>
      <w:r w:rsidRPr="00B16AA6">
        <w:rPr>
          <w:rFonts w:ascii="Arial" w:hAnsi="Arial" w:cs="Arial"/>
          <w:szCs w:val="24"/>
        </w:rPr>
        <w:t xml:space="preserve"> (Fund 3641) supports capital infrastructure projects other than revenue fleet vehicle purchases, including the planning, design, acquisition, preservation, and replacement of infrastructure and other capital items needed to support Metro’s operations. For 202</w:t>
      </w:r>
      <w:r w:rsidR="003E342C" w:rsidRPr="00B16AA6">
        <w:rPr>
          <w:rFonts w:ascii="Arial" w:hAnsi="Arial" w:cs="Arial"/>
          <w:szCs w:val="24"/>
        </w:rPr>
        <w:t>3</w:t>
      </w:r>
      <w:r w:rsidRPr="00B16AA6">
        <w:rPr>
          <w:rFonts w:ascii="Arial" w:hAnsi="Arial" w:cs="Arial"/>
          <w:szCs w:val="24"/>
        </w:rPr>
        <w:t>-202</w:t>
      </w:r>
      <w:r w:rsidR="003E342C" w:rsidRPr="00B16AA6">
        <w:rPr>
          <w:rFonts w:ascii="Arial" w:hAnsi="Arial" w:cs="Arial"/>
          <w:szCs w:val="24"/>
        </w:rPr>
        <w:t>4</w:t>
      </w:r>
      <w:r w:rsidRPr="00B16AA6">
        <w:rPr>
          <w:rFonts w:ascii="Arial" w:hAnsi="Arial" w:cs="Arial"/>
          <w:szCs w:val="24"/>
        </w:rPr>
        <w:t>, the proposed appropriation is $</w:t>
      </w:r>
      <w:r w:rsidR="00EA0881" w:rsidRPr="00B16AA6">
        <w:rPr>
          <w:rFonts w:ascii="Arial" w:hAnsi="Arial" w:cs="Arial"/>
          <w:szCs w:val="24"/>
        </w:rPr>
        <w:t>369</w:t>
      </w:r>
      <w:r w:rsidRPr="00B16AA6">
        <w:rPr>
          <w:rFonts w:ascii="Arial" w:hAnsi="Arial" w:cs="Arial"/>
          <w:szCs w:val="24"/>
        </w:rPr>
        <w:t xml:space="preserve"> million.</w:t>
      </w:r>
    </w:p>
    <w:p w14:paraId="7A6B485C" w14:textId="77777777" w:rsidR="003C3AEE" w:rsidRPr="00B16AA6" w:rsidRDefault="003C3AEE" w:rsidP="003C3AEE">
      <w:pPr>
        <w:spacing w:line="264" w:lineRule="auto"/>
        <w:contextualSpacing/>
        <w:jc w:val="both"/>
        <w:rPr>
          <w:rFonts w:ascii="Arial" w:hAnsi="Arial" w:cs="Arial"/>
          <w:szCs w:val="24"/>
        </w:rPr>
      </w:pPr>
    </w:p>
    <w:p w14:paraId="00C3DCCC" w14:textId="029B1B6F" w:rsidR="003C3AEE" w:rsidRPr="00B16AA6" w:rsidRDefault="003C3AEE" w:rsidP="003C3AEE">
      <w:pPr>
        <w:pStyle w:val="ListParagraph"/>
        <w:numPr>
          <w:ilvl w:val="0"/>
          <w:numId w:val="6"/>
        </w:numPr>
        <w:spacing w:line="264" w:lineRule="auto"/>
        <w:jc w:val="both"/>
        <w:rPr>
          <w:rFonts w:ascii="Arial" w:hAnsi="Arial" w:cs="Arial"/>
          <w:szCs w:val="24"/>
        </w:rPr>
      </w:pPr>
      <w:r w:rsidRPr="00B16AA6">
        <w:rPr>
          <w:rFonts w:ascii="Arial" w:hAnsi="Arial" w:cs="Arial"/>
          <w:szCs w:val="24"/>
        </w:rPr>
        <w:t xml:space="preserve">The </w:t>
      </w:r>
      <w:r w:rsidR="001D3C46" w:rsidRPr="00B16AA6">
        <w:rPr>
          <w:rFonts w:ascii="Arial" w:hAnsi="Arial" w:cs="Arial"/>
          <w:b/>
          <w:bCs/>
          <w:szCs w:val="24"/>
        </w:rPr>
        <w:t xml:space="preserve">Revenue </w:t>
      </w:r>
      <w:r w:rsidRPr="00B16AA6">
        <w:rPr>
          <w:rFonts w:ascii="Arial" w:hAnsi="Arial" w:cs="Arial"/>
          <w:b/>
          <w:bCs/>
          <w:szCs w:val="24"/>
        </w:rPr>
        <w:t>F</w:t>
      </w:r>
      <w:r w:rsidRPr="00B16AA6">
        <w:rPr>
          <w:rFonts w:ascii="Arial" w:hAnsi="Arial" w:cs="Arial"/>
          <w:b/>
          <w:szCs w:val="24"/>
        </w:rPr>
        <w:t>leet Capital Subfund</w:t>
      </w:r>
      <w:r w:rsidRPr="00B16AA6">
        <w:rPr>
          <w:rFonts w:ascii="Arial" w:hAnsi="Arial" w:cs="Arial"/>
          <w:szCs w:val="24"/>
        </w:rPr>
        <w:t xml:space="preserve"> </w:t>
      </w:r>
      <w:r w:rsidR="00E41410">
        <w:rPr>
          <w:rFonts w:ascii="Arial" w:hAnsi="Arial" w:cs="Arial"/>
          <w:szCs w:val="24"/>
        </w:rPr>
        <w:t xml:space="preserve">(Fund </w:t>
      </w:r>
      <w:r w:rsidR="000E1A14">
        <w:rPr>
          <w:rFonts w:ascii="Arial" w:hAnsi="Arial" w:cs="Arial"/>
          <w:szCs w:val="24"/>
        </w:rPr>
        <w:t>3</w:t>
      </w:r>
      <w:r w:rsidR="00E41410">
        <w:rPr>
          <w:rFonts w:ascii="Arial" w:hAnsi="Arial" w:cs="Arial"/>
          <w:szCs w:val="24"/>
        </w:rPr>
        <w:t xml:space="preserve">642) </w:t>
      </w:r>
      <w:r w:rsidRPr="00B16AA6">
        <w:rPr>
          <w:rFonts w:ascii="Arial" w:hAnsi="Arial" w:cs="Arial"/>
          <w:szCs w:val="24"/>
        </w:rPr>
        <w:t>supports new and replacement revenue fleet</w:t>
      </w:r>
      <w:r w:rsidRPr="00B16AA6">
        <w:rPr>
          <w:rStyle w:val="FootnoteReference"/>
          <w:rFonts w:ascii="Arial" w:hAnsi="Arial" w:cs="Arial"/>
          <w:szCs w:val="24"/>
        </w:rPr>
        <w:footnoteReference w:id="8"/>
      </w:r>
      <w:r w:rsidRPr="00B16AA6">
        <w:rPr>
          <w:rFonts w:ascii="Arial" w:hAnsi="Arial" w:cs="Arial"/>
          <w:szCs w:val="24"/>
        </w:rPr>
        <w:t xml:space="preserve"> purchases. To smooth large expenditure fluctuations associated with fleet replacement purchases, Metro maintain</w:t>
      </w:r>
      <w:r w:rsidR="001D3C46" w:rsidRPr="00B16AA6">
        <w:rPr>
          <w:rFonts w:ascii="Arial" w:hAnsi="Arial" w:cs="Arial"/>
          <w:szCs w:val="24"/>
        </w:rPr>
        <w:t>s</w:t>
      </w:r>
      <w:r w:rsidRPr="00B16AA6">
        <w:rPr>
          <w:rFonts w:ascii="Arial" w:hAnsi="Arial" w:cs="Arial"/>
          <w:szCs w:val="24"/>
        </w:rPr>
        <w:t xml:space="preserve"> a Revenue Fleet Replacement Reserve </w:t>
      </w:r>
      <w:r w:rsidR="002D311C">
        <w:rPr>
          <w:rFonts w:ascii="Arial" w:hAnsi="Arial" w:cs="Arial"/>
          <w:szCs w:val="24"/>
        </w:rPr>
        <w:t xml:space="preserve">and may </w:t>
      </w:r>
      <w:r w:rsidR="002B2A78">
        <w:rPr>
          <w:rFonts w:ascii="Arial" w:hAnsi="Arial" w:cs="Arial"/>
          <w:szCs w:val="24"/>
        </w:rPr>
        <w:t xml:space="preserve">also </w:t>
      </w:r>
      <w:r w:rsidR="002D311C">
        <w:rPr>
          <w:rFonts w:ascii="Arial" w:hAnsi="Arial" w:cs="Arial"/>
          <w:szCs w:val="24"/>
        </w:rPr>
        <w:t>use s</w:t>
      </w:r>
      <w:r w:rsidRPr="00B16AA6">
        <w:rPr>
          <w:rFonts w:ascii="Arial" w:hAnsi="Arial" w:cs="Arial"/>
          <w:szCs w:val="24"/>
        </w:rPr>
        <w:t>hort term debt. For 202</w:t>
      </w:r>
      <w:r w:rsidR="000720A1" w:rsidRPr="00B16AA6">
        <w:rPr>
          <w:rFonts w:ascii="Arial" w:hAnsi="Arial" w:cs="Arial"/>
          <w:szCs w:val="24"/>
        </w:rPr>
        <w:t>3</w:t>
      </w:r>
      <w:r w:rsidRPr="00B16AA6">
        <w:rPr>
          <w:rFonts w:ascii="Arial" w:hAnsi="Arial" w:cs="Arial"/>
          <w:szCs w:val="24"/>
        </w:rPr>
        <w:t>-202</w:t>
      </w:r>
      <w:r w:rsidR="000720A1" w:rsidRPr="00B16AA6">
        <w:rPr>
          <w:rFonts w:ascii="Arial" w:hAnsi="Arial" w:cs="Arial"/>
          <w:szCs w:val="24"/>
        </w:rPr>
        <w:t>4</w:t>
      </w:r>
      <w:r w:rsidRPr="00B16AA6">
        <w:rPr>
          <w:rFonts w:ascii="Arial" w:hAnsi="Arial" w:cs="Arial"/>
          <w:szCs w:val="24"/>
        </w:rPr>
        <w:t xml:space="preserve">, the </w:t>
      </w:r>
      <w:r w:rsidR="001F5246" w:rsidRPr="00B16AA6">
        <w:rPr>
          <w:rFonts w:ascii="Arial" w:hAnsi="Arial" w:cs="Arial"/>
          <w:szCs w:val="24"/>
        </w:rPr>
        <w:t xml:space="preserve">proposed appropriation is </w:t>
      </w:r>
      <w:r w:rsidR="00B16AA6" w:rsidRPr="00B16AA6">
        <w:rPr>
          <w:rFonts w:ascii="Arial" w:hAnsi="Arial" w:cs="Arial"/>
          <w:szCs w:val="24"/>
        </w:rPr>
        <w:t>$23</w:t>
      </w:r>
      <w:r w:rsidR="002B2A78">
        <w:rPr>
          <w:rFonts w:ascii="Arial" w:hAnsi="Arial" w:cs="Arial"/>
          <w:szCs w:val="24"/>
        </w:rPr>
        <w:t>4</w:t>
      </w:r>
      <w:r w:rsidR="00B16AA6" w:rsidRPr="00B16AA6">
        <w:rPr>
          <w:rFonts w:ascii="Arial" w:hAnsi="Arial" w:cs="Arial"/>
          <w:szCs w:val="24"/>
        </w:rPr>
        <w:t xml:space="preserve"> million</w:t>
      </w:r>
      <w:r w:rsidRPr="00B16AA6">
        <w:rPr>
          <w:rFonts w:ascii="Arial" w:hAnsi="Arial" w:cs="Arial"/>
          <w:szCs w:val="24"/>
        </w:rPr>
        <w:t>.</w:t>
      </w:r>
    </w:p>
    <w:p w14:paraId="74FA3CD2" w14:textId="77777777" w:rsidR="003C3AEE" w:rsidRPr="00B16AA6" w:rsidRDefault="003C3AEE" w:rsidP="003C3AEE">
      <w:pPr>
        <w:pStyle w:val="ListParagraph"/>
        <w:rPr>
          <w:rFonts w:ascii="Arial" w:hAnsi="Arial" w:cs="Arial"/>
          <w:szCs w:val="24"/>
        </w:rPr>
      </w:pPr>
    </w:p>
    <w:p w14:paraId="3EFC45C4" w14:textId="544C238F" w:rsidR="003C3AEE" w:rsidRPr="00F326CA" w:rsidRDefault="003C3AEE" w:rsidP="003C3AEE">
      <w:pPr>
        <w:pStyle w:val="ListParagraph"/>
        <w:numPr>
          <w:ilvl w:val="0"/>
          <w:numId w:val="6"/>
        </w:numPr>
        <w:spacing w:line="264" w:lineRule="auto"/>
        <w:jc w:val="both"/>
        <w:rPr>
          <w:rFonts w:ascii="Arial" w:hAnsi="Arial" w:cs="Arial"/>
          <w:szCs w:val="24"/>
        </w:rPr>
      </w:pPr>
      <w:r w:rsidRPr="00F326CA">
        <w:rPr>
          <w:rFonts w:ascii="Arial" w:hAnsi="Arial" w:cs="Arial"/>
          <w:szCs w:val="24"/>
        </w:rPr>
        <w:t xml:space="preserve">The </w:t>
      </w:r>
      <w:r w:rsidRPr="00F326CA">
        <w:rPr>
          <w:rFonts w:ascii="Arial" w:hAnsi="Arial" w:cs="Arial"/>
          <w:b/>
          <w:szCs w:val="24"/>
        </w:rPr>
        <w:t>Revenue Stabilization Reserve Subfund</w:t>
      </w:r>
      <w:r w:rsidRPr="00F326CA">
        <w:rPr>
          <w:rFonts w:ascii="Arial" w:hAnsi="Arial" w:cs="Arial"/>
          <w:szCs w:val="24"/>
        </w:rPr>
        <w:t xml:space="preserve"> holds fund balance to offset the impact</w:t>
      </w:r>
      <w:r w:rsidR="00006544">
        <w:rPr>
          <w:rFonts w:ascii="Arial" w:hAnsi="Arial" w:cs="Arial"/>
          <w:szCs w:val="24"/>
        </w:rPr>
        <w:t>s</w:t>
      </w:r>
      <w:r w:rsidRPr="00F326CA">
        <w:rPr>
          <w:rFonts w:ascii="Arial" w:hAnsi="Arial" w:cs="Arial"/>
          <w:szCs w:val="24"/>
        </w:rPr>
        <w:t xml:space="preserve"> of an economic downturn</w:t>
      </w:r>
      <w:r w:rsidRPr="00974DF0">
        <w:rPr>
          <w:rFonts w:ascii="Arial" w:hAnsi="Arial" w:cs="Arial"/>
          <w:szCs w:val="24"/>
        </w:rPr>
        <w:t>. For the 202</w:t>
      </w:r>
      <w:r w:rsidR="00F326CA" w:rsidRPr="00974DF0">
        <w:rPr>
          <w:rFonts w:ascii="Arial" w:hAnsi="Arial" w:cs="Arial"/>
          <w:szCs w:val="24"/>
        </w:rPr>
        <w:t>3</w:t>
      </w:r>
      <w:r w:rsidRPr="00974DF0">
        <w:rPr>
          <w:rFonts w:ascii="Arial" w:hAnsi="Arial" w:cs="Arial"/>
          <w:szCs w:val="24"/>
        </w:rPr>
        <w:t>-202</w:t>
      </w:r>
      <w:r w:rsidR="00F326CA" w:rsidRPr="00974DF0">
        <w:rPr>
          <w:rFonts w:ascii="Arial" w:hAnsi="Arial" w:cs="Arial"/>
          <w:szCs w:val="24"/>
        </w:rPr>
        <w:t>4</w:t>
      </w:r>
      <w:r w:rsidRPr="00974DF0">
        <w:rPr>
          <w:rFonts w:ascii="Arial" w:hAnsi="Arial" w:cs="Arial"/>
          <w:szCs w:val="24"/>
        </w:rPr>
        <w:t xml:space="preserve"> b</w:t>
      </w:r>
      <w:r w:rsidR="00006544">
        <w:rPr>
          <w:rFonts w:ascii="Arial" w:hAnsi="Arial" w:cs="Arial"/>
          <w:szCs w:val="24"/>
        </w:rPr>
        <w:t>iennium</w:t>
      </w:r>
      <w:r w:rsidRPr="00974DF0">
        <w:rPr>
          <w:rFonts w:ascii="Arial" w:hAnsi="Arial" w:cs="Arial"/>
          <w:szCs w:val="24"/>
        </w:rPr>
        <w:t>, the financial plan proposes a reserve of $</w:t>
      </w:r>
      <w:r w:rsidR="00974DF0" w:rsidRPr="00974DF0">
        <w:rPr>
          <w:rFonts w:ascii="Arial" w:hAnsi="Arial" w:cs="Arial"/>
          <w:szCs w:val="24"/>
        </w:rPr>
        <w:t>330.7</w:t>
      </w:r>
      <w:r w:rsidRPr="00974DF0">
        <w:rPr>
          <w:rFonts w:ascii="Arial" w:hAnsi="Arial" w:cs="Arial"/>
          <w:szCs w:val="24"/>
        </w:rPr>
        <w:t xml:space="preserve"> million. Mon</w:t>
      </w:r>
      <w:r w:rsidR="002103B2">
        <w:rPr>
          <w:rFonts w:ascii="Arial" w:hAnsi="Arial" w:cs="Arial"/>
          <w:szCs w:val="24"/>
        </w:rPr>
        <w:t>eys</w:t>
      </w:r>
      <w:r w:rsidRPr="00974DF0">
        <w:rPr>
          <w:rFonts w:ascii="Arial" w:hAnsi="Arial" w:cs="Arial"/>
          <w:szCs w:val="24"/>
        </w:rPr>
        <w:t xml:space="preserve"> in the Revenue Stabilization Subfund </w:t>
      </w:r>
      <w:r w:rsidR="00974DF0">
        <w:rPr>
          <w:rFonts w:ascii="Arial" w:hAnsi="Arial" w:cs="Arial"/>
          <w:szCs w:val="24"/>
        </w:rPr>
        <w:t>can</w:t>
      </w:r>
      <w:r w:rsidRPr="00974DF0">
        <w:rPr>
          <w:rFonts w:ascii="Arial" w:hAnsi="Arial" w:cs="Arial"/>
          <w:szCs w:val="24"/>
        </w:rPr>
        <w:t xml:space="preserve"> only be accessed through </w:t>
      </w:r>
      <w:r w:rsidR="0008701F" w:rsidRPr="00974DF0">
        <w:rPr>
          <w:rFonts w:ascii="Arial" w:hAnsi="Arial" w:cs="Arial"/>
          <w:szCs w:val="24"/>
        </w:rPr>
        <w:t xml:space="preserve">an </w:t>
      </w:r>
      <w:r w:rsidRPr="00974DF0">
        <w:rPr>
          <w:rFonts w:ascii="Arial" w:hAnsi="Arial" w:cs="Arial"/>
          <w:szCs w:val="24"/>
        </w:rPr>
        <w:t>appropriation</w:t>
      </w:r>
      <w:r w:rsidRPr="00F326CA">
        <w:rPr>
          <w:rFonts w:ascii="Arial" w:hAnsi="Arial" w:cs="Arial"/>
          <w:szCs w:val="24"/>
        </w:rPr>
        <w:t xml:space="preserve"> ordinance </w:t>
      </w:r>
      <w:r w:rsidR="008900E0">
        <w:rPr>
          <w:rFonts w:ascii="Arial" w:hAnsi="Arial" w:cs="Arial"/>
          <w:szCs w:val="24"/>
        </w:rPr>
        <w:t xml:space="preserve">and </w:t>
      </w:r>
      <w:r w:rsidR="00FE667E">
        <w:rPr>
          <w:rFonts w:ascii="Arial" w:hAnsi="Arial" w:cs="Arial"/>
          <w:szCs w:val="24"/>
        </w:rPr>
        <w:t xml:space="preserve">only </w:t>
      </w:r>
      <w:r w:rsidR="0008701F">
        <w:rPr>
          <w:rFonts w:ascii="Arial" w:hAnsi="Arial" w:cs="Arial"/>
          <w:szCs w:val="24"/>
        </w:rPr>
        <w:t xml:space="preserve">under specific conditions </w:t>
      </w:r>
      <w:r w:rsidR="00F04751">
        <w:rPr>
          <w:rFonts w:ascii="Arial" w:hAnsi="Arial" w:cs="Arial"/>
          <w:szCs w:val="24"/>
        </w:rPr>
        <w:t xml:space="preserve">in which </w:t>
      </w:r>
      <w:r w:rsidR="0008701F">
        <w:rPr>
          <w:rFonts w:ascii="Arial" w:hAnsi="Arial" w:cs="Arial"/>
          <w:szCs w:val="24"/>
        </w:rPr>
        <w:t>sales tax</w:t>
      </w:r>
      <w:r w:rsidR="00F04751">
        <w:rPr>
          <w:rFonts w:ascii="Arial" w:hAnsi="Arial" w:cs="Arial"/>
          <w:szCs w:val="24"/>
        </w:rPr>
        <w:t>es</w:t>
      </w:r>
      <w:r w:rsidR="0008701F">
        <w:rPr>
          <w:rFonts w:ascii="Arial" w:hAnsi="Arial" w:cs="Arial"/>
          <w:szCs w:val="24"/>
        </w:rPr>
        <w:t xml:space="preserve"> </w:t>
      </w:r>
      <w:r w:rsidR="00F04751">
        <w:rPr>
          <w:rFonts w:ascii="Arial" w:hAnsi="Arial" w:cs="Arial"/>
          <w:szCs w:val="24"/>
        </w:rPr>
        <w:t xml:space="preserve">are </w:t>
      </w:r>
      <w:r w:rsidR="00974DF0">
        <w:rPr>
          <w:rFonts w:ascii="Arial" w:hAnsi="Arial" w:cs="Arial"/>
          <w:szCs w:val="24"/>
        </w:rPr>
        <w:t>declin</w:t>
      </w:r>
      <w:r w:rsidR="00F04751">
        <w:rPr>
          <w:rFonts w:ascii="Arial" w:hAnsi="Arial" w:cs="Arial"/>
          <w:szCs w:val="24"/>
        </w:rPr>
        <w:t>ing</w:t>
      </w:r>
      <w:r w:rsidR="00974DF0">
        <w:rPr>
          <w:rFonts w:ascii="Arial" w:hAnsi="Arial" w:cs="Arial"/>
          <w:szCs w:val="24"/>
        </w:rPr>
        <w:t>.</w:t>
      </w:r>
      <w:r w:rsidRPr="00F326CA">
        <w:rPr>
          <w:rStyle w:val="FootnoteReference"/>
          <w:rFonts w:ascii="Arial" w:hAnsi="Arial" w:cs="Arial"/>
          <w:szCs w:val="24"/>
        </w:rPr>
        <w:footnoteReference w:id="9"/>
      </w:r>
    </w:p>
    <w:p w14:paraId="6F0D50C8" w14:textId="77777777" w:rsidR="003C3AEE" w:rsidRPr="00F326CA" w:rsidRDefault="003C3AEE" w:rsidP="003C3AEE">
      <w:pPr>
        <w:pStyle w:val="ListParagraph"/>
        <w:spacing w:line="264" w:lineRule="auto"/>
        <w:jc w:val="both"/>
        <w:rPr>
          <w:rFonts w:ascii="Arial" w:hAnsi="Arial" w:cs="Arial"/>
          <w:szCs w:val="24"/>
        </w:rPr>
      </w:pPr>
    </w:p>
    <w:p w14:paraId="6CE10E07" w14:textId="3945C7BC" w:rsidR="003C3AEE" w:rsidRPr="006E373B" w:rsidRDefault="003C3AEE" w:rsidP="003C3AEE">
      <w:pPr>
        <w:pStyle w:val="ListParagraph"/>
        <w:numPr>
          <w:ilvl w:val="0"/>
          <w:numId w:val="6"/>
        </w:numPr>
        <w:spacing w:line="264" w:lineRule="auto"/>
        <w:jc w:val="both"/>
        <w:rPr>
          <w:rFonts w:ascii="Arial" w:hAnsi="Arial" w:cs="Arial"/>
          <w:szCs w:val="24"/>
        </w:rPr>
      </w:pPr>
      <w:r w:rsidRPr="00805BD3">
        <w:rPr>
          <w:rFonts w:ascii="Arial" w:hAnsi="Arial" w:cs="Arial"/>
          <w:szCs w:val="24"/>
        </w:rPr>
        <w:t xml:space="preserve">The </w:t>
      </w:r>
      <w:r w:rsidRPr="00805BD3">
        <w:rPr>
          <w:rFonts w:ascii="Arial" w:hAnsi="Arial" w:cs="Arial"/>
          <w:b/>
          <w:szCs w:val="24"/>
        </w:rPr>
        <w:t xml:space="preserve">Debt Service </w:t>
      </w:r>
      <w:r w:rsidRPr="006E373B">
        <w:rPr>
          <w:rFonts w:ascii="Arial" w:hAnsi="Arial" w:cs="Arial"/>
          <w:b/>
          <w:szCs w:val="24"/>
        </w:rPr>
        <w:t>Subfund</w:t>
      </w:r>
      <w:r w:rsidRPr="006E373B">
        <w:rPr>
          <w:rFonts w:ascii="Arial" w:hAnsi="Arial" w:cs="Arial"/>
          <w:szCs w:val="24"/>
        </w:rPr>
        <w:t xml:space="preserve"> is required to be sufficient to meet annual debt service obligations for debt-financed Transit assets. For 202</w:t>
      </w:r>
      <w:r w:rsidR="00805BD3" w:rsidRPr="006E373B">
        <w:rPr>
          <w:rFonts w:ascii="Arial" w:hAnsi="Arial" w:cs="Arial"/>
          <w:szCs w:val="24"/>
        </w:rPr>
        <w:t>3</w:t>
      </w:r>
      <w:r w:rsidRPr="006E373B">
        <w:rPr>
          <w:rFonts w:ascii="Arial" w:hAnsi="Arial" w:cs="Arial"/>
          <w:szCs w:val="24"/>
        </w:rPr>
        <w:t>-202</w:t>
      </w:r>
      <w:r w:rsidR="00805BD3" w:rsidRPr="006E373B">
        <w:rPr>
          <w:rFonts w:ascii="Arial" w:hAnsi="Arial" w:cs="Arial"/>
          <w:szCs w:val="24"/>
        </w:rPr>
        <w:t>4</w:t>
      </w:r>
      <w:r w:rsidRPr="006E373B">
        <w:rPr>
          <w:rFonts w:ascii="Arial" w:hAnsi="Arial" w:cs="Arial"/>
          <w:szCs w:val="24"/>
        </w:rPr>
        <w:t>, the proposed appropriation is $1</w:t>
      </w:r>
      <w:r w:rsidR="00BB3D5D" w:rsidRPr="006E373B">
        <w:rPr>
          <w:rFonts w:ascii="Arial" w:hAnsi="Arial" w:cs="Arial"/>
          <w:szCs w:val="24"/>
        </w:rPr>
        <w:t>3</w:t>
      </w:r>
      <w:r w:rsidRPr="006E373B">
        <w:rPr>
          <w:rFonts w:ascii="Arial" w:hAnsi="Arial" w:cs="Arial"/>
          <w:szCs w:val="24"/>
        </w:rPr>
        <w:t>.</w:t>
      </w:r>
      <w:r w:rsidR="00BB3D5D" w:rsidRPr="006E373B">
        <w:rPr>
          <w:rFonts w:ascii="Arial" w:hAnsi="Arial" w:cs="Arial"/>
          <w:szCs w:val="24"/>
        </w:rPr>
        <w:t>2</w:t>
      </w:r>
      <w:r w:rsidRPr="006E373B">
        <w:rPr>
          <w:rFonts w:ascii="Arial" w:hAnsi="Arial" w:cs="Arial"/>
          <w:szCs w:val="24"/>
        </w:rPr>
        <w:t xml:space="preserve"> million.</w:t>
      </w:r>
    </w:p>
    <w:p w14:paraId="10E408AC" w14:textId="77777777" w:rsidR="003C3AEE" w:rsidRPr="006E373B" w:rsidRDefault="003C3AEE" w:rsidP="003C3AEE">
      <w:pPr>
        <w:pStyle w:val="ListParagraph"/>
        <w:rPr>
          <w:rFonts w:ascii="Arial" w:hAnsi="Arial" w:cs="Arial"/>
          <w:szCs w:val="24"/>
        </w:rPr>
      </w:pPr>
    </w:p>
    <w:p w14:paraId="74B63850" w14:textId="068911F6" w:rsidR="0066510F" w:rsidRPr="00153CFD" w:rsidRDefault="0066510F" w:rsidP="0066510F">
      <w:pPr>
        <w:spacing w:line="264" w:lineRule="auto"/>
        <w:contextualSpacing/>
        <w:jc w:val="both"/>
        <w:rPr>
          <w:rFonts w:ascii="Arial" w:hAnsi="Arial" w:cs="Arial"/>
          <w:szCs w:val="24"/>
        </w:rPr>
      </w:pPr>
      <w:r>
        <w:rPr>
          <w:rFonts w:ascii="Arial" w:hAnsi="Arial" w:cs="Arial"/>
          <w:b/>
          <w:szCs w:val="24"/>
        </w:rPr>
        <w:t xml:space="preserve">Fund Management Policies. </w:t>
      </w:r>
      <w:r>
        <w:rPr>
          <w:rFonts w:ascii="Arial" w:hAnsi="Arial" w:cs="Arial"/>
          <w:szCs w:val="24"/>
        </w:rPr>
        <w:t>Metro’s</w:t>
      </w:r>
      <w:r w:rsidRPr="00153CFD">
        <w:rPr>
          <w:rFonts w:ascii="Arial" w:hAnsi="Arial" w:cs="Arial"/>
          <w:szCs w:val="24"/>
        </w:rPr>
        <w:t xml:space="preserve"> adopted fund management policies</w:t>
      </w:r>
      <w:r w:rsidRPr="00153CFD">
        <w:rPr>
          <w:rStyle w:val="FootnoteReference"/>
          <w:rFonts w:ascii="Arial" w:hAnsi="Arial" w:cs="Arial"/>
          <w:szCs w:val="24"/>
        </w:rPr>
        <w:footnoteReference w:id="10"/>
      </w:r>
      <w:r w:rsidRPr="00153CFD">
        <w:rPr>
          <w:rFonts w:ascii="Arial" w:hAnsi="Arial" w:cs="Arial"/>
          <w:szCs w:val="24"/>
        </w:rPr>
        <w:t xml:space="preserve"> direct Metro to manage its finances to fund, in the following order: (1) debt service; (2) operation of the current transit system, including asset maintenance and replacement; (3) </w:t>
      </w:r>
      <w:r w:rsidRPr="00153CFD">
        <w:rPr>
          <w:rFonts w:ascii="Arial" w:hAnsi="Arial" w:cs="Arial"/>
          <w:szCs w:val="24"/>
        </w:rPr>
        <w:lastRenderedPageBreak/>
        <w:t xml:space="preserve">maintenance and replenishment of reserves; and (4) new transit service and capital investments necessary to achieve </w:t>
      </w:r>
      <w:r>
        <w:rPr>
          <w:rFonts w:ascii="Arial" w:hAnsi="Arial" w:cs="Arial"/>
          <w:szCs w:val="24"/>
        </w:rPr>
        <w:t xml:space="preserve">service growth </w:t>
      </w:r>
      <w:r w:rsidRPr="00153CFD">
        <w:rPr>
          <w:rFonts w:ascii="Arial" w:hAnsi="Arial" w:cs="Arial"/>
          <w:szCs w:val="24"/>
        </w:rPr>
        <w:t>priorities identified by the King County Metro Service Guidelines,</w:t>
      </w:r>
      <w:r>
        <w:rPr>
          <w:rStyle w:val="FootnoteReference"/>
          <w:rFonts w:ascii="Arial" w:hAnsi="Arial" w:cs="Arial"/>
          <w:szCs w:val="24"/>
        </w:rPr>
        <w:footnoteReference w:id="11"/>
      </w:r>
      <w:r w:rsidRPr="00153CFD">
        <w:rPr>
          <w:rFonts w:ascii="Arial" w:hAnsi="Arial" w:cs="Arial"/>
          <w:szCs w:val="24"/>
        </w:rPr>
        <w:t xml:space="preserve"> and new transit service and capital investments necessary to achieve the long range vision identified in Metro Connects.</w:t>
      </w:r>
      <w:r w:rsidRPr="00153CFD">
        <w:rPr>
          <w:rStyle w:val="FootnoteReference"/>
          <w:rFonts w:ascii="Arial" w:hAnsi="Arial" w:cs="Arial"/>
          <w:szCs w:val="24"/>
        </w:rPr>
        <w:footnoteReference w:id="12"/>
      </w:r>
    </w:p>
    <w:p w14:paraId="0D9B5186" w14:textId="77777777" w:rsidR="0066510F" w:rsidRPr="003C3AEE" w:rsidRDefault="0066510F" w:rsidP="0066510F">
      <w:pPr>
        <w:spacing w:line="264" w:lineRule="auto"/>
        <w:contextualSpacing/>
        <w:jc w:val="both"/>
        <w:rPr>
          <w:rFonts w:ascii="Arial" w:hAnsi="Arial" w:cs="Arial"/>
          <w:szCs w:val="24"/>
          <w:highlight w:val="yellow"/>
        </w:rPr>
      </w:pPr>
    </w:p>
    <w:p w14:paraId="2A3830BD" w14:textId="2AB03652" w:rsidR="009D58A7" w:rsidRDefault="0042751D" w:rsidP="003C3AEE">
      <w:pPr>
        <w:spacing w:line="264" w:lineRule="auto"/>
        <w:contextualSpacing/>
        <w:jc w:val="both"/>
        <w:rPr>
          <w:rFonts w:ascii="Arial" w:hAnsi="Arial" w:cs="Arial"/>
          <w:szCs w:val="24"/>
        </w:rPr>
      </w:pPr>
      <w:r w:rsidRPr="0042751D">
        <w:rPr>
          <w:rFonts w:ascii="Arial" w:hAnsi="Arial" w:cs="Arial"/>
          <w:bCs/>
          <w:szCs w:val="24"/>
        </w:rPr>
        <w:t xml:space="preserve">The </w:t>
      </w:r>
      <w:r w:rsidR="003C3AEE" w:rsidRPr="0042751D">
        <w:rPr>
          <w:rFonts w:ascii="Arial" w:hAnsi="Arial" w:cs="Arial"/>
          <w:bCs/>
          <w:szCs w:val="24"/>
        </w:rPr>
        <w:t>fu</w:t>
      </w:r>
      <w:r w:rsidR="003C3AEE" w:rsidRPr="00805BD3">
        <w:rPr>
          <w:rFonts w:ascii="Arial" w:hAnsi="Arial" w:cs="Arial"/>
          <w:szCs w:val="24"/>
        </w:rPr>
        <w:t>nd management policies require Metro to recover at least 25 percent of passenger-related operating costs from farebox revenues</w:t>
      </w:r>
      <w:r w:rsidR="008F4289">
        <w:rPr>
          <w:rFonts w:ascii="Arial" w:hAnsi="Arial" w:cs="Arial"/>
          <w:szCs w:val="24"/>
        </w:rPr>
        <w:t xml:space="preserve">, </w:t>
      </w:r>
      <w:r w:rsidR="00567E10">
        <w:rPr>
          <w:rFonts w:ascii="Arial" w:hAnsi="Arial" w:cs="Arial"/>
          <w:szCs w:val="24"/>
        </w:rPr>
        <w:t xml:space="preserve">with a </w:t>
      </w:r>
      <w:r w:rsidR="003C3AEE" w:rsidRPr="00805BD3">
        <w:rPr>
          <w:rFonts w:ascii="Arial" w:hAnsi="Arial" w:cs="Arial"/>
          <w:szCs w:val="24"/>
        </w:rPr>
        <w:t xml:space="preserve">target of recovering 30 percent. </w:t>
      </w:r>
      <w:r w:rsidR="00573DDC">
        <w:rPr>
          <w:rFonts w:ascii="Arial" w:hAnsi="Arial" w:cs="Arial"/>
          <w:szCs w:val="24"/>
        </w:rPr>
        <w:t xml:space="preserve">During the 2021-2022 biennium, farebox recovery </w:t>
      </w:r>
      <w:r w:rsidR="00324982">
        <w:rPr>
          <w:rFonts w:ascii="Arial" w:hAnsi="Arial" w:cs="Arial"/>
          <w:szCs w:val="24"/>
        </w:rPr>
        <w:t>did not meet the target</w:t>
      </w:r>
      <w:r w:rsidR="00567E10">
        <w:rPr>
          <w:rFonts w:ascii="Arial" w:hAnsi="Arial" w:cs="Arial"/>
          <w:szCs w:val="24"/>
        </w:rPr>
        <w:t xml:space="preserve"> due to reduced service and ridership levels. </w:t>
      </w:r>
      <w:r w:rsidR="000B5FA5">
        <w:rPr>
          <w:rFonts w:ascii="Arial" w:hAnsi="Arial" w:cs="Arial"/>
          <w:szCs w:val="24"/>
        </w:rPr>
        <w:t xml:space="preserve">In </w:t>
      </w:r>
      <w:r w:rsidR="00F85ACD">
        <w:rPr>
          <w:rFonts w:ascii="Arial" w:hAnsi="Arial" w:cs="Arial"/>
          <w:szCs w:val="24"/>
        </w:rPr>
        <w:t>anticipation of this</w:t>
      </w:r>
      <w:r w:rsidR="009966D6">
        <w:rPr>
          <w:rFonts w:ascii="Arial" w:hAnsi="Arial" w:cs="Arial"/>
          <w:szCs w:val="24"/>
        </w:rPr>
        <w:t xml:space="preserve"> shortfall</w:t>
      </w:r>
      <w:r w:rsidR="000B5FA5">
        <w:rPr>
          <w:rFonts w:ascii="Arial" w:hAnsi="Arial" w:cs="Arial"/>
          <w:szCs w:val="24"/>
        </w:rPr>
        <w:t xml:space="preserve">, the Council </w:t>
      </w:r>
      <w:r w:rsidR="00F23514">
        <w:rPr>
          <w:rFonts w:ascii="Arial" w:hAnsi="Arial" w:cs="Arial"/>
          <w:szCs w:val="24"/>
        </w:rPr>
        <w:t>suspended</w:t>
      </w:r>
      <w:r w:rsidR="0049751B">
        <w:rPr>
          <w:rFonts w:ascii="Arial" w:hAnsi="Arial" w:cs="Arial"/>
          <w:szCs w:val="24"/>
        </w:rPr>
        <w:t xml:space="preserve"> portions of the fund management policies</w:t>
      </w:r>
      <w:r w:rsidR="003473E5">
        <w:rPr>
          <w:rFonts w:ascii="Arial" w:hAnsi="Arial" w:cs="Arial"/>
          <w:szCs w:val="24"/>
        </w:rPr>
        <w:t xml:space="preserve"> during 2021-2022</w:t>
      </w:r>
      <w:r w:rsidR="0049751B">
        <w:rPr>
          <w:rFonts w:ascii="Arial" w:hAnsi="Arial" w:cs="Arial"/>
          <w:szCs w:val="24"/>
        </w:rPr>
        <w:t xml:space="preserve">, including the farebox recovery </w:t>
      </w:r>
      <w:r w:rsidR="00F32757">
        <w:rPr>
          <w:rFonts w:ascii="Arial" w:hAnsi="Arial" w:cs="Arial"/>
          <w:szCs w:val="24"/>
        </w:rPr>
        <w:t>requirement</w:t>
      </w:r>
      <w:r w:rsidR="0049751B">
        <w:rPr>
          <w:rFonts w:ascii="Arial" w:hAnsi="Arial" w:cs="Arial"/>
          <w:szCs w:val="24"/>
        </w:rPr>
        <w:t>.</w:t>
      </w:r>
      <w:r w:rsidR="00F23514">
        <w:rPr>
          <w:rStyle w:val="FootnoteReference"/>
          <w:rFonts w:ascii="Arial" w:hAnsi="Arial" w:cs="Arial"/>
          <w:szCs w:val="24"/>
        </w:rPr>
        <w:footnoteReference w:id="13"/>
      </w:r>
      <w:r w:rsidR="0049751B">
        <w:rPr>
          <w:rFonts w:ascii="Arial" w:hAnsi="Arial" w:cs="Arial"/>
          <w:szCs w:val="24"/>
        </w:rPr>
        <w:t xml:space="preserve"> </w:t>
      </w:r>
    </w:p>
    <w:p w14:paraId="05F9F9E2" w14:textId="77777777" w:rsidR="009D58A7" w:rsidRDefault="009D58A7" w:rsidP="003C3AEE">
      <w:pPr>
        <w:spacing w:line="264" w:lineRule="auto"/>
        <w:contextualSpacing/>
        <w:jc w:val="both"/>
        <w:rPr>
          <w:rFonts w:ascii="Arial" w:hAnsi="Arial" w:cs="Arial"/>
          <w:szCs w:val="24"/>
        </w:rPr>
      </w:pPr>
    </w:p>
    <w:p w14:paraId="172D7824" w14:textId="2547073D" w:rsidR="003C3AEE" w:rsidRPr="00805BD3" w:rsidRDefault="00F81896" w:rsidP="003C3AEE">
      <w:pPr>
        <w:spacing w:line="264" w:lineRule="auto"/>
        <w:contextualSpacing/>
        <w:jc w:val="both"/>
        <w:rPr>
          <w:rFonts w:ascii="Arial" w:hAnsi="Arial" w:cs="Arial"/>
          <w:szCs w:val="24"/>
        </w:rPr>
      </w:pPr>
      <w:r>
        <w:rPr>
          <w:rFonts w:ascii="Arial" w:hAnsi="Arial" w:cs="Arial"/>
          <w:szCs w:val="24"/>
        </w:rPr>
        <w:t xml:space="preserve">Metro anticipates </w:t>
      </w:r>
      <w:r w:rsidR="00E83ACF">
        <w:rPr>
          <w:rFonts w:ascii="Arial" w:hAnsi="Arial" w:cs="Arial"/>
          <w:szCs w:val="24"/>
        </w:rPr>
        <w:t>that farebox recovery will not reach the target during 2023-2024</w:t>
      </w:r>
      <w:r w:rsidR="008852D2">
        <w:rPr>
          <w:rFonts w:ascii="Arial" w:hAnsi="Arial" w:cs="Arial"/>
          <w:szCs w:val="24"/>
        </w:rPr>
        <w:t xml:space="preserve"> due to slow ridership recovery. In response, the Executive transmitted Proposed Ordinance </w:t>
      </w:r>
      <w:r w:rsidR="006343EC" w:rsidRPr="00EF3B8E">
        <w:rPr>
          <w:rFonts w:ascii="Arial" w:hAnsi="Arial" w:cs="Arial"/>
          <w:szCs w:val="24"/>
        </w:rPr>
        <w:t>2022-0391</w:t>
      </w:r>
      <w:r w:rsidR="008852D2" w:rsidRPr="00EF3B8E">
        <w:rPr>
          <w:rFonts w:ascii="Arial" w:hAnsi="Arial" w:cs="Arial"/>
          <w:szCs w:val="24"/>
        </w:rPr>
        <w:t>, which would continue the partial suspension of Metro’s fund management policies during the</w:t>
      </w:r>
      <w:r w:rsidR="008852D2">
        <w:rPr>
          <w:rFonts w:ascii="Arial" w:hAnsi="Arial" w:cs="Arial"/>
          <w:szCs w:val="24"/>
        </w:rPr>
        <w:t xml:space="preserve"> 2023-2024 biennium. </w:t>
      </w:r>
      <w:r w:rsidR="0014260E">
        <w:rPr>
          <w:rFonts w:ascii="Arial" w:hAnsi="Arial" w:cs="Arial"/>
          <w:szCs w:val="24"/>
        </w:rPr>
        <w:t xml:space="preserve">That ordinance states that Metro will </w:t>
      </w:r>
      <w:r w:rsidR="00EA5B97">
        <w:rPr>
          <w:rFonts w:ascii="Arial" w:hAnsi="Arial" w:cs="Arial"/>
          <w:szCs w:val="24"/>
        </w:rPr>
        <w:t>analy</w:t>
      </w:r>
      <w:r w:rsidR="009B3157">
        <w:rPr>
          <w:rFonts w:ascii="Arial" w:hAnsi="Arial" w:cs="Arial"/>
          <w:szCs w:val="24"/>
        </w:rPr>
        <w:t xml:space="preserve">ze evolving conditions and recommend updates to the farebox recovery requirement as part of the 2025-2026 budget. </w:t>
      </w:r>
      <w:r w:rsidR="003C3AEE" w:rsidRPr="00805BD3">
        <w:rPr>
          <w:rFonts w:ascii="Arial" w:hAnsi="Arial" w:cs="Arial"/>
          <w:szCs w:val="24"/>
        </w:rPr>
        <w:t xml:space="preserve">Table </w:t>
      </w:r>
      <w:r w:rsidR="00650D17">
        <w:rPr>
          <w:rFonts w:ascii="Arial" w:hAnsi="Arial" w:cs="Arial"/>
          <w:szCs w:val="24"/>
        </w:rPr>
        <w:t>1</w:t>
      </w:r>
      <w:r w:rsidR="003C3AEE" w:rsidRPr="00805BD3">
        <w:rPr>
          <w:rFonts w:ascii="Arial" w:hAnsi="Arial" w:cs="Arial"/>
          <w:szCs w:val="24"/>
        </w:rPr>
        <w:t xml:space="preserve"> shows the projected farebox recovery ra</w:t>
      </w:r>
      <w:r w:rsidR="00967626">
        <w:rPr>
          <w:rFonts w:ascii="Arial" w:hAnsi="Arial" w:cs="Arial"/>
          <w:szCs w:val="24"/>
        </w:rPr>
        <w:t>tes for 2021 through 2024</w:t>
      </w:r>
      <w:r w:rsidR="003C3AEE" w:rsidRPr="00805BD3">
        <w:rPr>
          <w:rFonts w:ascii="Arial" w:hAnsi="Arial"/>
        </w:rPr>
        <w:t>.</w:t>
      </w:r>
    </w:p>
    <w:p w14:paraId="4666C5C2" w14:textId="77777777" w:rsidR="003C3AEE" w:rsidRPr="003C3AEE" w:rsidRDefault="003C3AEE" w:rsidP="003C3AEE">
      <w:pPr>
        <w:spacing w:line="264" w:lineRule="auto"/>
        <w:contextualSpacing/>
        <w:jc w:val="both"/>
        <w:rPr>
          <w:rFonts w:ascii="Arial" w:hAnsi="Arial" w:cs="Arial"/>
          <w:szCs w:val="24"/>
          <w:highlight w:val="yellow"/>
        </w:rPr>
      </w:pPr>
    </w:p>
    <w:p w14:paraId="6FBD84A8" w14:textId="34C41B5C" w:rsidR="003C3AEE" w:rsidRPr="00BF00D7" w:rsidRDefault="003C3AEE" w:rsidP="00A241A4">
      <w:pPr>
        <w:keepNext/>
        <w:spacing w:after="120" w:line="264" w:lineRule="auto"/>
        <w:jc w:val="center"/>
        <w:rPr>
          <w:rFonts w:ascii="Arial" w:hAnsi="Arial" w:cs="Arial"/>
          <w:b/>
          <w:szCs w:val="24"/>
        </w:rPr>
      </w:pPr>
      <w:r w:rsidRPr="00BF00D7">
        <w:rPr>
          <w:rFonts w:ascii="Arial" w:hAnsi="Arial" w:cs="Arial"/>
          <w:b/>
          <w:szCs w:val="24"/>
        </w:rPr>
        <w:t xml:space="preserve">Table </w:t>
      </w:r>
      <w:r w:rsidR="00650D17">
        <w:rPr>
          <w:rFonts w:ascii="Arial" w:hAnsi="Arial" w:cs="Arial"/>
          <w:b/>
          <w:szCs w:val="24"/>
        </w:rPr>
        <w:t>1</w:t>
      </w:r>
      <w:r w:rsidRPr="00BF00D7">
        <w:rPr>
          <w:rFonts w:ascii="Arial" w:hAnsi="Arial" w:cs="Arial"/>
          <w:b/>
          <w:szCs w:val="24"/>
        </w:rPr>
        <w:t>. Farebox Recovery Rat</w:t>
      </w:r>
      <w:r w:rsidR="00967626">
        <w:rPr>
          <w:rFonts w:ascii="Arial" w:hAnsi="Arial" w:cs="Arial"/>
          <w:b/>
          <w:szCs w:val="24"/>
        </w:rPr>
        <w:t>es</w:t>
      </w:r>
      <w:r w:rsidRPr="00BF00D7">
        <w:rPr>
          <w:rFonts w:ascii="Arial" w:hAnsi="Arial" w:cs="Arial"/>
          <w:b/>
          <w:szCs w:val="24"/>
        </w:rPr>
        <w:t xml:space="preserve"> 20</w:t>
      </w:r>
      <w:r w:rsidR="001A5F4B" w:rsidRPr="00BF00D7">
        <w:rPr>
          <w:rFonts w:ascii="Arial" w:hAnsi="Arial" w:cs="Arial"/>
          <w:b/>
          <w:szCs w:val="24"/>
        </w:rPr>
        <w:t>2</w:t>
      </w:r>
      <w:r w:rsidRPr="00BF00D7">
        <w:rPr>
          <w:rFonts w:ascii="Arial" w:hAnsi="Arial" w:cs="Arial"/>
          <w:b/>
          <w:szCs w:val="24"/>
        </w:rPr>
        <w:t>1-202</w:t>
      </w:r>
      <w:r w:rsidR="00967626">
        <w:rPr>
          <w:rFonts w:ascii="Arial" w:hAnsi="Arial" w:cs="Arial"/>
          <w:b/>
          <w:szCs w:val="24"/>
        </w:rPr>
        <w:t>4</w:t>
      </w:r>
    </w:p>
    <w:tbl>
      <w:tblPr>
        <w:tblStyle w:val="ListTable3"/>
        <w:tblW w:w="0" w:type="auto"/>
        <w:jc w:val="center"/>
        <w:tblLook w:val="00A0" w:firstRow="1" w:lastRow="0" w:firstColumn="1" w:lastColumn="0" w:noHBand="0" w:noVBand="0"/>
      </w:tblPr>
      <w:tblGrid>
        <w:gridCol w:w="1253"/>
        <w:gridCol w:w="4596"/>
      </w:tblGrid>
      <w:tr w:rsidR="001A5F4B" w:rsidRPr="003C3AEE" w14:paraId="0BA5A6FE" w14:textId="77777777" w:rsidTr="00A241A4">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1253" w:type="dxa"/>
            <w:tcBorders>
              <w:top w:val="nil"/>
              <w:left w:val="nil"/>
              <w:bottom w:val="single" w:sz="4" w:space="0" w:color="000000" w:themeColor="text1"/>
            </w:tcBorders>
            <w:shd w:val="clear" w:color="auto" w:fill="auto"/>
            <w:vAlign w:val="bottom"/>
          </w:tcPr>
          <w:p w14:paraId="5497116C" w14:textId="77777777" w:rsidR="001A5F4B" w:rsidRPr="009D650E" w:rsidRDefault="001A5F4B" w:rsidP="009D650E">
            <w:pPr>
              <w:spacing w:before="60" w:after="60"/>
              <w:jc w:val="center"/>
              <w:rPr>
                <w:rFonts w:ascii="Arial" w:hAnsi="Arial" w:cs="Arial"/>
                <w:color w:val="auto"/>
                <w:sz w:val="20"/>
              </w:rPr>
            </w:pPr>
            <w:r w:rsidRPr="009D650E">
              <w:rPr>
                <w:rFonts w:ascii="Arial" w:hAnsi="Arial" w:cs="Arial"/>
                <w:color w:val="auto"/>
                <w:sz w:val="20"/>
              </w:rPr>
              <w:t>Year</w:t>
            </w:r>
          </w:p>
        </w:tc>
        <w:tc>
          <w:tcPr>
            <w:cnfStyle w:val="000010000000" w:firstRow="0" w:lastRow="0" w:firstColumn="0" w:lastColumn="0" w:oddVBand="1" w:evenVBand="0" w:oddHBand="0" w:evenHBand="0" w:firstRowFirstColumn="0" w:firstRowLastColumn="0" w:lastRowFirstColumn="0" w:lastRowLastColumn="0"/>
            <w:tcW w:w="4596" w:type="dxa"/>
            <w:tcBorders>
              <w:top w:val="nil"/>
              <w:bottom w:val="single" w:sz="4" w:space="0" w:color="000000" w:themeColor="text1"/>
              <w:right w:val="nil"/>
            </w:tcBorders>
            <w:shd w:val="clear" w:color="auto" w:fill="auto"/>
          </w:tcPr>
          <w:p w14:paraId="67C1AA0D" w14:textId="77777777" w:rsidR="001A5F4B" w:rsidRPr="009D650E" w:rsidRDefault="001A5F4B" w:rsidP="009D650E">
            <w:pPr>
              <w:spacing w:before="60" w:after="60"/>
              <w:jc w:val="center"/>
              <w:rPr>
                <w:rFonts w:ascii="Arial" w:hAnsi="Arial" w:cs="Arial"/>
                <w:color w:val="auto"/>
                <w:sz w:val="20"/>
              </w:rPr>
            </w:pPr>
            <w:r w:rsidRPr="009D650E">
              <w:rPr>
                <w:rFonts w:ascii="Arial" w:hAnsi="Arial" w:cs="Arial"/>
                <w:color w:val="auto"/>
                <w:sz w:val="20"/>
              </w:rPr>
              <w:t>Actual or Projected Farebox Recovery Ratio</w:t>
            </w:r>
          </w:p>
        </w:tc>
      </w:tr>
      <w:tr w:rsidR="001A5F4B" w:rsidRPr="003C3AEE" w14:paraId="49AEC46C" w14:textId="77777777" w:rsidTr="009D65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3" w:type="dxa"/>
            <w:tcBorders>
              <w:left w:val="nil"/>
            </w:tcBorders>
          </w:tcPr>
          <w:p w14:paraId="6D0411D2" w14:textId="042B83B6" w:rsidR="001A5F4B" w:rsidRPr="009D650E" w:rsidRDefault="001A5F4B" w:rsidP="009D650E">
            <w:pPr>
              <w:spacing w:before="60" w:after="60"/>
              <w:jc w:val="center"/>
              <w:rPr>
                <w:rFonts w:ascii="Arial" w:hAnsi="Arial" w:cs="Arial"/>
                <w:b w:val="0"/>
                <w:sz w:val="20"/>
              </w:rPr>
            </w:pPr>
            <w:r w:rsidRPr="009D650E">
              <w:rPr>
                <w:rFonts w:ascii="Arial" w:hAnsi="Arial" w:cs="Arial"/>
                <w:b w:val="0"/>
                <w:sz w:val="20"/>
              </w:rPr>
              <w:t>20</w:t>
            </w:r>
            <w:r w:rsidR="009D650E">
              <w:rPr>
                <w:rFonts w:ascii="Arial" w:hAnsi="Arial" w:cs="Arial"/>
                <w:b w:val="0"/>
                <w:sz w:val="20"/>
              </w:rPr>
              <w:t>2</w:t>
            </w:r>
            <w:r w:rsidRPr="009D650E">
              <w:rPr>
                <w:rFonts w:ascii="Arial" w:hAnsi="Arial" w:cs="Arial"/>
                <w:b w:val="0"/>
                <w:sz w:val="20"/>
              </w:rPr>
              <w:t>1</w:t>
            </w:r>
          </w:p>
        </w:tc>
        <w:tc>
          <w:tcPr>
            <w:cnfStyle w:val="000010000000" w:firstRow="0" w:lastRow="0" w:firstColumn="0" w:lastColumn="0" w:oddVBand="1" w:evenVBand="0" w:oddHBand="0" w:evenHBand="0" w:firstRowFirstColumn="0" w:firstRowLastColumn="0" w:lastRowFirstColumn="0" w:lastRowLastColumn="0"/>
            <w:tcW w:w="4596" w:type="dxa"/>
            <w:tcBorders>
              <w:right w:val="nil"/>
            </w:tcBorders>
            <w:vAlign w:val="center"/>
          </w:tcPr>
          <w:p w14:paraId="5BA7A697" w14:textId="4E28E89E" w:rsidR="001A5F4B" w:rsidRPr="006343EC" w:rsidRDefault="006343EC" w:rsidP="009D650E">
            <w:pPr>
              <w:spacing w:before="60" w:after="60"/>
              <w:jc w:val="center"/>
              <w:rPr>
                <w:rFonts w:ascii="Arial" w:hAnsi="Arial" w:cs="Arial"/>
                <w:sz w:val="20"/>
              </w:rPr>
            </w:pPr>
            <w:r w:rsidRPr="006343EC">
              <w:rPr>
                <w:rFonts w:ascii="Arial" w:hAnsi="Arial" w:cs="Arial"/>
                <w:sz w:val="20"/>
              </w:rPr>
              <w:t>7.2</w:t>
            </w:r>
            <w:r w:rsidR="001A5F4B" w:rsidRPr="006343EC">
              <w:rPr>
                <w:rFonts w:ascii="Arial" w:hAnsi="Arial" w:cs="Arial"/>
                <w:sz w:val="20"/>
              </w:rPr>
              <w:t>% (actual)</w:t>
            </w:r>
          </w:p>
        </w:tc>
      </w:tr>
      <w:tr w:rsidR="001A5F4B" w:rsidRPr="003C3AEE" w14:paraId="4035D1FC" w14:textId="77777777" w:rsidTr="009D650E">
        <w:trPr>
          <w:jc w:val="center"/>
        </w:trPr>
        <w:tc>
          <w:tcPr>
            <w:cnfStyle w:val="001000000000" w:firstRow="0" w:lastRow="0" w:firstColumn="1" w:lastColumn="0" w:oddVBand="0" w:evenVBand="0" w:oddHBand="0" w:evenHBand="0" w:firstRowFirstColumn="0" w:firstRowLastColumn="0" w:lastRowFirstColumn="0" w:lastRowLastColumn="0"/>
            <w:tcW w:w="1253" w:type="dxa"/>
            <w:tcBorders>
              <w:top w:val="single" w:sz="4" w:space="0" w:color="000000" w:themeColor="text1"/>
              <w:left w:val="nil"/>
              <w:bottom w:val="single" w:sz="4" w:space="0" w:color="000000" w:themeColor="text1"/>
            </w:tcBorders>
          </w:tcPr>
          <w:p w14:paraId="50B24DB5" w14:textId="0832AAF6" w:rsidR="001A5F4B" w:rsidRPr="009D650E" w:rsidRDefault="001A5F4B" w:rsidP="009D650E">
            <w:pPr>
              <w:spacing w:before="60" w:after="60"/>
              <w:jc w:val="center"/>
              <w:rPr>
                <w:rFonts w:ascii="Arial" w:hAnsi="Arial" w:cs="Arial"/>
                <w:b w:val="0"/>
                <w:sz w:val="20"/>
              </w:rPr>
            </w:pPr>
            <w:r w:rsidRPr="009D650E">
              <w:rPr>
                <w:rFonts w:ascii="Arial" w:hAnsi="Arial" w:cs="Arial"/>
                <w:b w:val="0"/>
                <w:sz w:val="20"/>
              </w:rPr>
              <w:t>202</w:t>
            </w:r>
            <w:r w:rsidR="009D650E">
              <w:rPr>
                <w:rFonts w:ascii="Arial" w:hAnsi="Arial" w:cs="Arial"/>
                <w:b w:val="0"/>
                <w:sz w:val="20"/>
              </w:rPr>
              <w:t>2</w:t>
            </w:r>
          </w:p>
        </w:tc>
        <w:tc>
          <w:tcPr>
            <w:cnfStyle w:val="000010000000" w:firstRow="0" w:lastRow="0" w:firstColumn="0" w:lastColumn="0" w:oddVBand="1" w:evenVBand="0" w:oddHBand="0" w:evenHBand="0" w:firstRowFirstColumn="0" w:firstRowLastColumn="0" w:lastRowFirstColumn="0" w:lastRowLastColumn="0"/>
            <w:tcW w:w="4596" w:type="dxa"/>
            <w:tcBorders>
              <w:top w:val="single" w:sz="4" w:space="0" w:color="000000" w:themeColor="text1"/>
              <w:bottom w:val="single" w:sz="4" w:space="0" w:color="000000" w:themeColor="text1"/>
              <w:right w:val="nil"/>
            </w:tcBorders>
            <w:vAlign w:val="center"/>
          </w:tcPr>
          <w:p w14:paraId="5A1A5B85" w14:textId="0E29D90F" w:rsidR="001A5F4B" w:rsidRPr="006343EC" w:rsidRDefault="001A5F4B" w:rsidP="009D650E">
            <w:pPr>
              <w:spacing w:before="60" w:after="60"/>
              <w:jc w:val="center"/>
              <w:rPr>
                <w:rFonts w:ascii="Arial" w:hAnsi="Arial" w:cs="Arial"/>
                <w:sz w:val="20"/>
              </w:rPr>
            </w:pPr>
            <w:r w:rsidRPr="006343EC">
              <w:rPr>
                <w:rFonts w:ascii="Arial" w:hAnsi="Arial" w:cs="Arial"/>
                <w:sz w:val="20"/>
              </w:rPr>
              <w:t>7</w:t>
            </w:r>
            <w:r w:rsidR="006343EC" w:rsidRPr="006343EC">
              <w:rPr>
                <w:rFonts w:ascii="Arial" w:hAnsi="Arial" w:cs="Arial"/>
                <w:sz w:val="20"/>
              </w:rPr>
              <w:t>.6</w:t>
            </w:r>
            <w:r w:rsidRPr="006343EC">
              <w:rPr>
                <w:rFonts w:ascii="Arial" w:hAnsi="Arial" w:cs="Arial"/>
                <w:sz w:val="20"/>
              </w:rPr>
              <w:t>% (projected)</w:t>
            </w:r>
          </w:p>
        </w:tc>
      </w:tr>
      <w:tr w:rsidR="001A5F4B" w:rsidRPr="003C3AEE" w14:paraId="258001E5" w14:textId="77777777" w:rsidTr="009D65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3" w:type="dxa"/>
            <w:tcBorders>
              <w:left w:val="nil"/>
            </w:tcBorders>
          </w:tcPr>
          <w:p w14:paraId="6BC59420" w14:textId="039608A1" w:rsidR="001A5F4B" w:rsidRPr="009D650E" w:rsidRDefault="001A5F4B" w:rsidP="009D650E">
            <w:pPr>
              <w:spacing w:before="60" w:after="60"/>
              <w:jc w:val="center"/>
              <w:rPr>
                <w:rFonts w:ascii="Arial" w:hAnsi="Arial" w:cs="Arial"/>
                <w:b w:val="0"/>
                <w:sz w:val="20"/>
              </w:rPr>
            </w:pPr>
            <w:r w:rsidRPr="009D650E">
              <w:rPr>
                <w:rFonts w:ascii="Arial" w:hAnsi="Arial" w:cs="Arial"/>
                <w:b w:val="0"/>
                <w:sz w:val="20"/>
              </w:rPr>
              <w:t>202</w:t>
            </w:r>
            <w:r w:rsidR="009D650E">
              <w:rPr>
                <w:rFonts w:ascii="Arial" w:hAnsi="Arial" w:cs="Arial"/>
                <w:b w:val="0"/>
                <w:sz w:val="20"/>
              </w:rPr>
              <w:t>3</w:t>
            </w:r>
          </w:p>
        </w:tc>
        <w:tc>
          <w:tcPr>
            <w:cnfStyle w:val="000010000000" w:firstRow="0" w:lastRow="0" w:firstColumn="0" w:lastColumn="0" w:oddVBand="1" w:evenVBand="0" w:oddHBand="0" w:evenHBand="0" w:firstRowFirstColumn="0" w:firstRowLastColumn="0" w:lastRowFirstColumn="0" w:lastRowLastColumn="0"/>
            <w:tcW w:w="4596" w:type="dxa"/>
            <w:tcBorders>
              <w:right w:val="nil"/>
            </w:tcBorders>
            <w:vAlign w:val="center"/>
          </w:tcPr>
          <w:p w14:paraId="79B81163" w14:textId="6C5A3BFA" w:rsidR="001A5F4B" w:rsidRPr="006343EC" w:rsidRDefault="006343EC" w:rsidP="009D650E">
            <w:pPr>
              <w:spacing w:before="60" w:after="60"/>
              <w:jc w:val="center"/>
              <w:rPr>
                <w:rFonts w:ascii="Arial" w:hAnsi="Arial" w:cs="Arial"/>
                <w:sz w:val="20"/>
              </w:rPr>
            </w:pPr>
            <w:r w:rsidRPr="006343EC">
              <w:rPr>
                <w:rFonts w:ascii="Arial" w:hAnsi="Arial" w:cs="Arial"/>
                <w:sz w:val="20"/>
              </w:rPr>
              <w:t>7.7</w:t>
            </w:r>
            <w:r w:rsidR="001A5F4B" w:rsidRPr="006343EC">
              <w:rPr>
                <w:rFonts w:ascii="Arial" w:hAnsi="Arial" w:cs="Arial"/>
                <w:sz w:val="20"/>
              </w:rPr>
              <w:t>% (projected)</w:t>
            </w:r>
          </w:p>
        </w:tc>
      </w:tr>
      <w:tr w:rsidR="001A5F4B" w:rsidRPr="003C3AEE" w14:paraId="57E784EF" w14:textId="77777777" w:rsidTr="009D650E">
        <w:trPr>
          <w:jc w:val="center"/>
        </w:trPr>
        <w:tc>
          <w:tcPr>
            <w:cnfStyle w:val="001000000000" w:firstRow="0" w:lastRow="0" w:firstColumn="1" w:lastColumn="0" w:oddVBand="0" w:evenVBand="0" w:oddHBand="0" w:evenHBand="0" w:firstRowFirstColumn="0" w:firstRowLastColumn="0" w:lastRowFirstColumn="0" w:lastRowLastColumn="0"/>
            <w:tcW w:w="1253" w:type="dxa"/>
            <w:tcBorders>
              <w:top w:val="single" w:sz="4" w:space="0" w:color="000000" w:themeColor="text1"/>
              <w:left w:val="nil"/>
              <w:bottom w:val="single" w:sz="4" w:space="0" w:color="000000" w:themeColor="text1"/>
            </w:tcBorders>
          </w:tcPr>
          <w:p w14:paraId="3AD57CA4" w14:textId="7BB5831B" w:rsidR="001A5F4B" w:rsidRPr="009D650E" w:rsidRDefault="001A5F4B" w:rsidP="009D650E">
            <w:pPr>
              <w:spacing w:before="60" w:after="60"/>
              <w:jc w:val="center"/>
              <w:rPr>
                <w:rFonts w:ascii="Arial" w:hAnsi="Arial" w:cs="Arial"/>
                <w:b w:val="0"/>
                <w:sz w:val="20"/>
              </w:rPr>
            </w:pPr>
            <w:r w:rsidRPr="009D650E">
              <w:rPr>
                <w:rFonts w:ascii="Arial" w:hAnsi="Arial" w:cs="Arial"/>
                <w:b w:val="0"/>
                <w:sz w:val="20"/>
              </w:rPr>
              <w:t>202</w:t>
            </w:r>
            <w:r w:rsidR="009D650E">
              <w:rPr>
                <w:rFonts w:ascii="Arial" w:hAnsi="Arial" w:cs="Arial"/>
                <w:b w:val="0"/>
                <w:sz w:val="20"/>
              </w:rPr>
              <w:t>4</w:t>
            </w:r>
          </w:p>
        </w:tc>
        <w:tc>
          <w:tcPr>
            <w:cnfStyle w:val="000010000000" w:firstRow="0" w:lastRow="0" w:firstColumn="0" w:lastColumn="0" w:oddVBand="1" w:evenVBand="0" w:oddHBand="0" w:evenHBand="0" w:firstRowFirstColumn="0" w:firstRowLastColumn="0" w:lastRowFirstColumn="0" w:lastRowLastColumn="0"/>
            <w:tcW w:w="4596" w:type="dxa"/>
            <w:tcBorders>
              <w:top w:val="single" w:sz="4" w:space="0" w:color="000000" w:themeColor="text1"/>
              <w:bottom w:val="single" w:sz="4" w:space="0" w:color="000000" w:themeColor="text1"/>
              <w:right w:val="nil"/>
            </w:tcBorders>
            <w:vAlign w:val="center"/>
          </w:tcPr>
          <w:p w14:paraId="591363C6" w14:textId="51BC3EF0" w:rsidR="001A5F4B" w:rsidRPr="006343EC" w:rsidRDefault="006343EC" w:rsidP="009D650E">
            <w:pPr>
              <w:spacing w:before="60" w:after="60"/>
              <w:jc w:val="center"/>
              <w:rPr>
                <w:rFonts w:ascii="Arial" w:hAnsi="Arial" w:cs="Arial"/>
                <w:sz w:val="20"/>
              </w:rPr>
            </w:pPr>
            <w:r w:rsidRPr="006343EC">
              <w:rPr>
                <w:rFonts w:ascii="Arial" w:hAnsi="Arial" w:cs="Arial"/>
                <w:sz w:val="20"/>
              </w:rPr>
              <w:t>9.4</w:t>
            </w:r>
            <w:r w:rsidR="001A5F4B" w:rsidRPr="006343EC">
              <w:rPr>
                <w:rFonts w:ascii="Arial" w:hAnsi="Arial" w:cs="Arial"/>
                <w:sz w:val="20"/>
              </w:rPr>
              <w:t>% (projected)</w:t>
            </w:r>
          </w:p>
        </w:tc>
      </w:tr>
    </w:tbl>
    <w:p w14:paraId="67E3B524" w14:textId="4DC1C165" w:rsidR="003C3AEE" w:rsidRDefault="003C3AEE" w:rsidP="003C3AEE">
      <w:pPr>
        <w:spacing w:line="264" w:lineRule="auto"/>
        <w:contextualSpacing/>
        <w:jc w:val="both"/>
        <w:rPr>
          <w:rFonts w:ascii="Arial" w:hAnsi="Arial" w:cs="Arial"/>
          <w:szCs w:val="24"/>
          <w:highlight w:val="yellow"/>
        </w:rPr>
      </w:pPr>
    </w:p>
    <w:p w14:paraId="7C592C8B" w14:textId="2E6978FB" w:rsidR="00F869FB" w:rsidRDefault="00F869FB" w:rsidP="003C3AEE">
      <w:pPr>
        <w:spacing w:line="264" w:lineRule="auto"/>
        <w:contextualSpacing/>
        <w:jc w:val="both"/>
        <w:rPr>
          <w:rFonts w:ascii="Arial" w:hAnsi="Arial" w:cs="Arial"/>
          <w:szCs w:val="24"/>
        </w:rPr>
      </w:pPr>
      <w:r>
        <w:rPr>
          <w:rFonts w:ascii="Arial" w:hAnsi="Arial" w:cs="Arial"/>
          <w:szCs w:val="24"/>
        </w:rPr>
        <w:t xml:space="preserve">Farebox recovery has also been affected by the decline in </w:t>
      </w:r>
      <w:r w:rsidR="009033CD">
        <w:rPr>
          <w:rFonts w:ascii="Arial" w:hAnsi="Arial" w:cs="Arial"/>
          <w:szCs w:val="24"/>
        </w:rPr>
        <w:t xml:space="preserve">Metro </w:t>
      </w:r>
      <w:r>
        <w:rPr>
          <w:rFonts w:ascii="Arial" w:hAnsi="Arial" w:cs="Arial"/>
          <w:szCs w:val="24"/>
        </w:rPr>
        <w:t>business passport accounts, which in 2019</w:t>
      </w:r>
      <w:r w:rsidR="000858EE">
        <w:rPr>
          <w:rFonts w:ascii="Arial" w:hAnsi="Arial" w:cs="Arial"/>
          <w:szCs w:val="24"/>
        </w:rPr>
        <w:t xml:space="preserve"> accounted for 35 percent of all boardings and </w:t>
      </w:r>
      <w:r w:rsidR="00140BFF">
        <w:rPr>
          <w:rFonts w:ascii="Arial" w:hAnsi="Arial" w:cs="Arial"/>
          <w:szCs w:val="24"/>
        </w:rPr>
        <w:t xml:space="preserve">$85 million in </w:t>
      </w:r>
      <w:r w:rsidR="00013AC1">
        <w:rPr>
          <w:rFonts w:ascii="Arial" w:hAnsi="Arial" w:cs="Arial"/>
          <w:szCs w:val="24"/>
        </w:rPr>
        <w:t xml:space="preserve">annual </w:t>
      </w:r>
      <w:r w:rsidR="00140BFF">
        <w:rPr>
          <w:rFonts w:ascii="Arial" w:hAnsi="Arial" w:cs="Arial"/>
          <w:szCs w:val="24"/>
        </w:rPr>
        <w:t>fare revenue</w:t>
      </w:r>
      <w:r w:rsidR="000858EE">
        <w:rPr>
          <w:rFonts w:ascii="Arial" w:hAnsi="Arial" w:cs="Arial"/>
          <w:szCs w:val="24"/>
        </w:rPr>
        <w:t>, and in 202</w:t>
      </w:r>
      <w:r w:rsidR="00013AC1">
        <w:rPr>
          <w:rFonts w:ascii="Arial" w:hAnsi="Arial" w:cs="Arial"/>
          <w:szCs w:val="24"/>
        </w:rPr>
        <w:t>1-2022</w:t>
      </w:r>
      <w:r w:rsidR="000858EE">
        <w:rPr>
          <w:rFonts w:ascii="Arial" w:hAnsi="Arial" w:cs="Arial"/>
          <w:szCs w:val="24"/>
        </w:rPr>
        <w:t xml:space="preserve"> accounted for 23 percent of </w:t>
      </w:r>
      <w:r w:rsidR="00DC2851">
        <w:rPr>
          <w:rFonts w:ascii="Arial" w:hAnsi="Arial" w:cs="Arial"/>
          <w:szCs w:val="24"/>
        </w:rPr>
        <w:t xml:space="preserve">all </w:t>
      </w:r>
      <w:r w:rsidR="000858EE">
        <w:rPr>
          <w:rFonts w:ascii="Arial" w:hAnsi="Arial" w:cs="Arial"/>
          <w:szCs w:val="24"/>
        </w:rPr>
        <w:t xml:space="preserve">boardings and </w:t>
      </w:r>
      <w:r w:rsidR="00013AC1">
        <w:rPr>
          <w:rFonts w:ascii="Arial" w:hAnsi="Arial" w:cs="Arial"/>
          <w:szCs w:val="24"/>
        </w:rPr>
        <w:t>$25 million in annual fare revenue</w:t>
      </w:r>
      <w:r w:rsidR="000858EE">
        <w:rPr>
          <w:rFonts w:ascii="Arial" w:hAnsi="Arial" w:cs="Arial"/>
          <w:szCs w:val="24"/>
        </w:rPr>
        <w:t xml:space="preserve">. </w:t>
      </w:r>
    </w:p>
    <w:p w14:paraId="47A2B230" w14:textId="77777777" w:rsidR="00F869FB" w:rsidRDefault="00F869FB" w:rsidP="003C3AEE">
      <w:pPr>
        <w:spacing w:line="264" w:lineRule="auto"/>
        <w:contextualSpacing/>
        <w:jc w:val="both"/>
        <w:rPr>
          <w:rFonts w:ascii="Arial" w:hAnsi="Arial" w:cs="Arial"/>
          <w:szCs w:val="24"/>
        </w:rPr>
      </w:pPr>
    </w:p>
    <w:p w14:paraId="620096C3" w14:textId="52B57B8F" w:rsidR="00DB786E" w:rsidRDefault="00ED4BC2" w:rsidP="00013AC1">
      <w:pPr>
        <w:spacing w:line="264" w:lineRule="auto"/>
        <w:contextualSpacing/>
        <w:jc w:val="both"/>
        <w:rPr>
          <w:rFonts w:ascii="Arial" w:hAnsi="Arial" w:cs="Arial"/>
          <w:szCs w:val="24"/>
          <w:highlight w:val="yellow"/>
        </w:rPr>
      </w:pPr>
      <w:r w:rsidRPr="00650D17">
        <w:rPr>
          <w:rFonts w:ascii="Arial" w:hAnsi="Arial" w:cs="Arial"/>
          <w:szCs w:val="24"/>
        </w:rPr>
        <w:t>Metro has stated that</w:t>
      </w:r>
      <w:r>
        <w:rPr>
          <w:rFonts w:ascii="Arial" w:hAnsi="Arial" w:cs="Arial"/>
          <w:szCs w:val="24"/>
        </w:rPr>
        <w:t xml:space="preserve">, although the 2021-2022 budget had </w:t>
      </w:r>
      <w:r w:rsidR="00882738">
        <w:rPr>
          <w:rFonts w:ascii="Arial" w:hAnsi="Arial" w:cs="Arial"/>
          <w:szCs w:val="24"/>
        </w:rPr>
        <w:t xml:space="preserve">based its revenue projections on </w:t>
      </w:r>
      <w:r w:rsidR="007C232B">
        <w:rPr>
          <w:rFonts w:ascii="Arial" w:hAnsi="Arial" w:cs="Arial"/>
          <w:szCs w:val="24"/>
        </w:rPr>
        <w:t xml:space="preserve">a </w:t>
      </w:r>
      <w:r w:rsidR="00F8453E">
        <w:rPr>
          <w:rFonts w:ascii="Arial" w:hAnsi="Arial" w:cs="Arial"/>
          <w:szCs w:val="24"/>
        </w:rPr>
        <w:t xml:space="preserve">$0.25 </w:t>
      </w:r>
      <w:r w:rsidR="007C232B">
        <w:rPr>
          <w:rFonts w:ascii="Arial" w:hAnsi="Arial" w:cs="Arial"/>
          <w:szCs w:val="24"/>
        </w:rPr>
        <w:t xml:space="preserve">fare increase </w:t>
      </w:r>
      <w:r w:rsidR="00882738">
        <w:rPr>
          <w:rFonts w:ascii="Arial" w:hAnsi="Arial" w:cs="Arial"/>
          <w:szCs w:val="24"/>
        </w:rPr>
        <w:t xml:space="preserve">that </w:t>
      </w:r>
      <w:r w:rsidR="007C232B">
        <w:rPr>
          <w:rFonts w:ascii="Arial" w:hAnsi="Arial" w:cs="Arial"/>
          <w:szCs w:val="24"/>
        </w:rPr>
        <w:t xml:space="preserve">would </w:t>
      </w:r>
      <w:r w:rsidR="00F41E7F">
        <w:rPr>
          <w:rFonts w:ascii="Arial" w:hAnsi="Arial" w:cs="Arial"/>
          <w:szCs w:val="24"/>
        </w:rPr>
        <w:t xml:space="preserve">have been </w:t>
      </w:r>
      <w:r w:rsidR="007C232B">
        <w:rPr>
          <w:rFonts w:ascii="Arial" w:hAnsi="Arial" w:cs="Arial"/>
          <w:szCs w:val="24"/>
        </w:rPr>
        <w:t xml:space="preserve">sought in 2023, the proposed </w:t>
      </w:r>
      <w:r w:rsidR="00F41E7F">
        <w:rPr>
          <w:rFonts w:ascii="Arial" w:hAnsi="Arial" w:cs="Arial"/>
          <w:szCs w:val="24"/>
        </w:rPr>
        <w:t xml:space="preserve">2023-2024 </w:t>
      </w:r>
      <w:r w:rsidR="007C232B">
        <w:rPr>
          <w:rFonts w:ascii="Arial" w:hAnsi="Arial" w:cs="Arial"/>
          <w:szCs w:val="24"/>
        </w:rPr>
        <w:t>budget does not include a fare increase</w:t>
      </w:r>
      <w:r w:rsidRPr="00650D17">
        <w:rPr>
          <w:rFonts w:ascii="Arial" w:hAnsi="Arial" w:cs="Arial"/>
          <w:szCs w:val="24"/>
        </w:rPr>
        <w:t xml:space="preserve"> due to the uncertainty of ridership</w:t>
      </w:r>
      <w:r w:rsidRPr="00650D17">
        <w:rPr>
          <w:rFonts w:ascii="Arial" w:hAnsi="Arial"/>
        </w:rPr>
        <w:t xml:space="preserve"> </w:t>
      </w:r>
      <w:r w:rsidRPr="00650D17">
        <w:rPr>
          <w:rFonts w:ascii="Arial" w:hAnsi="Arial" w:cs="Arial"/>
          <w:szCs w:val="24"/>
        </w:rPr>
        <w:t>recover</w:t>
      </w:r>
      <w:r w:rsidR="008A0CE9">
        <w:rPr>
          <w:rFonts w:ascii="Arial" w:hAnsi="Arial" w:cs="Arial"/>
          <w:szCs w:val="24"/>
        </w:rPr>
        <w:t>y</w:t>
      </w:r>
      <w:r w:rsidRPr="00805BD3">
        <w:rPr>
          <w:rFonts w:ascii="Arial" w:hAnsi="Arial" w:cs="Arial"/>
          <w:szCs w:val="24"/>
        </w:rPr>
        <w:t>.</w:t>
      </w:r>
      <w:r>
        <w:rPr>
          <w:rStyle w:val="FootnoteReference"/>
          <w:rFonts w:ascii="Arial" w:hAnsi="Arial" w:cs="Arial"/>
          <w:szCs w:val="24"/>
        </w:rPr>
        <w:footnoteReference w:id="14"/>
      </w:r>
      <w:r w:rsidR="000D6B6B">
        <w:rPr>
          <w:rFonts w:ascii="Arial" w:hAnsi="Arial" w:cs="Arial"/>
          <w:szCs w:val="24"/>
        </w:rPr>
        <w:t xml:space="preserve"> </w:t>
      </w:r>
      <w:r w:rsidR="001A5DBD">
        <w:rPr>
          <w:rFonts w:ascii="Arial" w:hAnsi="Arial" w:cs="Arial"/>
          <w:szCs w:val="24"/>
        </w:rPr>
        <w:t>Metro staff state that r</w:t>
      </w:r>
      <w:r w:rsidR="000D6B6B">
        <w:rPr>
          <w:rFonts w:ascii="Arial" w:hAnsi="Arial" w:cs="Arial"/>
          <w:szCs w:val="24"/>
        </w:rPr>
        <w:t xml:space="preserve">evenue estimates </w:t>
      </w:r>
      <w:r w:rsidR="00F8453E">
        <w:rPr>
          <w:rFonts w:ascii="Arial" w:hAnsi="Arial" w:cs="Arial"/>
          <w:szCs w:val="24"/>
        </w:rPr>
        <w:t xml:space="preserve">for the 2023-2024 biennium </w:t>
      </w:r>
      <w:r w:rsidR="000D6B6B">
        <w:rPr>
          <w:rFonts w:ascii="Arial" w:hAnsi="Arial" w:cs="Arial"/>
          <w:szCs w:val="24"/>
        </w:rPr>
        <w:t>have been revised</w:t>
      </w:r>
      <w:r w:rsidR="00762215">
        <w:rPr>
          <w:rFonts w:ascii="Arial" w:hAnsi="Arial" w:cs="Arial"/>
          <w:szCs w:val="24"/>
        </w:rPr>
        <w:t xml:space="preserve"> </w:t>
      </w:r>
      <w:r w:rsidR="001A5DBD">
        <w:rPr>
          <w:rFonts w:ascii="Arial" w:hAnsi="Arial" w:cs="Arial"/>
          <w:szCs w:val="24"/>
        </w:rPr>
        <w:t xml:space="preserve">downward </w:t>
      </w:r>
      <w:r w:rsidR="00631A6D">
        <w:rPr>
          <w:rFonts w:ascii="Arial" w:hAnsi="Arial" w:cs="Arial"/>
          <w:szCs w:val="24"/>
        </w:rPr>
        <w:t xml:space="preserve">by $15 million </w:t>
      </w:r>
      <w:r w:rsidR="00762215">
        <w:rPr>
          <w:rFonts w:ascii="Arial" w:hAnsi="Arial" w:cs="Arial"/>
          <w:szCs w:val="24"/>
        </w:rPr>
        <w:t>to reflect that a fare increase</w:t>
      </w:r>
      <w:r w:rsidR="001A5DBD">
        <w:rPr>
          <w:rFonts w:ascii="Arial" w:hAnsi="Arial" w:cs="Arial"/>
          <w:szCs w:val="24"/>
        </w:rPr>
        <w:t xml:space="preserve"> proposal will be deferred until </w:t>
      </w:r>
      <w:r w:rsidR="00597C6B">
        <w:rPr>
          <w:rFonts w:ascii="Arial" w:hAnsi="Arial" w:cs="Arial"/>
          <w:szCs w:val="24"/>
        </w:rPr>
        <w:t xml:space="preserve">at least </w:t>
      </w:r>
      <w:r w:rsidR="001A5DBD">
        <w:rPr>
          <w:rFonts w:ascii="Arial" w:hAnsi="Arial" w:cs="Arial"/>
          <w:szCs w:val="24"/>
        </w:rPr>
        <w:t>2025</w:t>
      </w:r>
      <w:r w:rsidR="00762215">
        <w:rPr>
          <w:rFonts w:ascii="Arial" w:hAnsi="Arial" w:cs="Arial"/>
          <w:szCs w:val="24"/>
        </w:rPr>
        <w:t>.</w:t>
      </w:r>
      <w:r w:rsidR="00DB786E">
        <w:rPr>
          <w:rFonts w:ascii="Arial" w:hAnsi="Arial" w:cs="Arial"/>
          <w:szCs w:val="24"/>
          <w:highlight w:val="yellow"/>
        </w:rPr>
        <w:br w:type="page"/>
      </w:r>
    </w:p>
    <w:p w14:paraId="0C6ECC54" w14:textId="77777777" w:rsidR="00ED4BC2" w:rsidRPr="003C3AEE" w:rsidRDefault="00ED4BC2" w:rsidP="003C3AEE">
      <w:pPr>
        <w:spacing w:line="264" w:lineRule="auto"/>
        <w:contextualSpacing/>
        <w:jc w:val="both"/>
        <w:rPr>
          <w:rFonts w:ascii="Arial" w:hAnsi="Arial" w:cs="Arial"/>
          <w:szCs w:val="24"/>
          <w:highlight w:val="yellow"/>
        </w:rPr>
      </w:pPr>
    </w:p>
    <w:p w14:paraId="4D2021C0" w14:textId="77777777" w:rsidR="003C3AEE" w:rsidRPr="000112EF" w:rsidRDefault="003C3AEE" w:rsidP="003C3AEE">
      <w:pPr>
        <w:keepNext/>
        <w:spacing w:line="264" w:lineRule="auto"/>
        <w:contextualSpacing/>
        <w:jc w:val="both"/>
        <w:rPr>
          <w:rFonts w:ascii="Arial" w:hAnsi="Arial" w:cs="Arial"/>
          <w:b/>
          <w:szCs w:val="24"/>
          <w:u w:val="single"/>
        </w:rPr>
      </w:pPr>
      <w:r w:rsidRPr="000112EF">
        <w:rPr>
          <w:rFonts w:ascii="Arial" w:hAnsi="Arial" w:cs="Arial"/>
          <w:b/>
          <w:szCs w:val="24"/>
          <w:u w:val="single"/>
        </w:rPr>
        <w:t>Operating Budget Highlights</w:t>
      </w:r>
    </w:p>
    <w:p w14:paraId="64BBA02F" w14:textId="77777777" w:rsidR="003C3AEE" w:rsidRPr="003C3AEE" w:rsidRDefault="003C3AEE" w:rsidP="003C3AEE">
      <w:pPr>
        <w:spacing w:line="264" w:lineRule="auto"/>
        <w:contextualSpacing/>
        <w:jc w:val="both"/>
        <w:rPr>
          <w:rFonts w:ascii="Arial" w:hAnsi="Arial" w:cs="Arial"/>
          <w:b/>
          <w:szCs w:val="24"/>
          <w:highlight w:val="yellow"/>
          <w:u w:val="thick"/>
        </w:rPr>
      </w:pPr>
    </w:p>
    <w:p w14:paraId="0CFD1853" w14:textId="7D774F25" w:rsidR="003C3AEE" w:rsidRPr="00502C56" w:rsidRDefault="00AD3AF0" w:rsidP="003C3AEE">
      <w:pPr>
        <w:spacing w:line="264" w:lineRule="auto"/>
        <w:contextualSpacing/>
        <w:jc w:val="both"/>
        <w:rPr>
          <w:rFonts w:ascii="Arial" w:hAnsi="Arial" w:cs="Arial"/>
          <w:szCs w:val="24"/>
        </w:rPr>
      </w:pPr>
      <w:r>
        <w:rPr>
          <w:rFonts w:ascii="Arial" w:hAnsi="Arial" w:cs="Arial"/>
          <w:szCs w:val="24"/>
        </w:rPr>
        <w:t>Highlights</w:t>
      </w:r>
      <w:r w:rsidR="003C3AEE" w:rsidRPr="005B06DC">
        <w:rPr>
          <w:rFonts w:ascii="Arial" w:hAnsi="Arial" w:cs="Arial"/>
          <w:szCs w:val="24"/>
        </w:rPr>
        <w:t xml:space="preserve"> of the </w:t>
      </w:r>
      <w:r w:rsidR="000D291C" w:rsidRPr="00F66BC0">
        <w:rPr>
          <w:rFonts w:ascii="Arial" w:hAnsi="Arial" w:cs="Arial"/>
          <w:szCs w:val="24"/>
        </w:rPr>
        <w:t>$</w:t>
      </w:r>
      <w:r w:rsidR="000D291C">
        <w:rPr>
          <w:rFonts w:ascii="Arial" w:hAnsi="Arial" w:cs="Arial"/>
          <w:szCs w:val="24"/>
        </w:rPr>
        <w:t xml:space="preserve">2.47 </w:t>
      </w:r>
      <w:r w:rsidR="000D291C" w:rsidRPr="00F66BC0">
        <w:rPr>
          <w:rFonts w:ascii="Arial" w:hAnsi="Arial" w:cs="Arial"/>
          <w:szCs w:val="24"/>
        </w:rPr>
        <w:t>billion</w:t>
      </w:r>
      <w:r w:rsidR="000D291C" w:rsidRPr="0062318C">
        <w:rPr>
          <w:rFonts w:ascii="Arial" w:hAnsi="Arial" w:cs="Arial"/>
          <w:szCs w:val="24"/>
        </w:rPr>
        <w:t xml:space="preserve"> </w:t>
      </w:r>
      <w:r w:rsidR="003C3AEE" w:rsidRPr="005B06DC">
        <w:rPr>
          <w:rFonts w:ascii="Arial" w:hAnsi="Arial" w:cs="Arial"/>
          <w:szCs w:val="24"/>
        </w:rPr>
        <w:t>202</w:t>
      </w:r>
      <w:r w:rsidR="00CF17E8" w:rsidRPr="005B06DC">
        <w:rPr>
          <w:rFonts w:ascii="Arial" w:hAnsi="Arial" w:cs="Arial"/>
          <w:szCs w:val="24"/>
        </w:rPr>
        <w:t>3</w:t>
      </w:r>
      <w:r w:rsidR="003C3AEE" w:rsidRPr="005B06DC">
        <w:rPr>
          <w:rFonts w:ascii="Arial" w:hAnsi="Arial" w:cs="Arial"/>
          <w:szCs w:val="24"/>
        </w:rPr>
        <w:t>-202</w:t>
      </w:r>
      <w:r w:rsidR="00CF17E8" w:rsidRPr="005B06DC">
        <w:rPr>
          <w:rFonts w:ascii="Arial" w:hAnsi="Arial" w:cs="Arial"/>
          <w:szCs w:val="24"/>
        </w:rPr>
        <w:t>4</w:t>
      </w:r>
      <w:r w:rsidR="003C3AEE" w:rsidRPr="005B06DC">
        <w:rPr>
          <w:rFonts w:ascii="Arial" w:hAnsi="Arial" w:cs="Arial"/>
          <w:szCs w:val="24"/>
        </w:rPr>
        <w:t xml:space="preserve"> proposed </w:t>
      </w:r>
      <w:r w:rsidR="00560419">
        <w:rPr>
          <w:rFonts w:ascii="Arial" w:hAnsi="Arial" w:cs="Arial"/>
          <w:szCs w:val="24"/>
        </w:rPr>
        <w:t>t</w:t>
      </w:r>
      <w:r w:rsidR="003C3AEE" w:rsidRPr="005B06DC">
        <w:rPr>
          <w:rFonts w:ascii="Arial" w:hAnsi="Arial" w:cs="Arial"/>
          <w:szCs w:val="24"/>
        </w:rPr>
        <w:t xml:space="preserve">ransit </w:t>
      </w:r>
      <w:r w:rsidR="00560419">
        <w:rPr>
          <w:rFonts w:ascii="Arial" w:hAnsi="Arial" w:cs="Arial"/>
          <w:szCs w:val="24"/>
        </w:rPr>
        <w:t>o</w:t>
      </w:r>
      <w:r w:rsidR="003C3AEE" w:rsidRPr="005B06DC">
        <w:rPr>
          <w:rFonts w:ascii="Arial" w:hAnsi="Arial" w:cs="Arial"/>
          <w:szCs w:val="24"/>
        </w:rPr>
        <w:t>perating budget</w:t>
      </w:r>
      <w:r>
        <w:rPr>
          <w:rFonts w:ascii="Arial" w:hAnsi="Arial" w:cs="Arial"/>
          <w:szCs w:val="24"/>
        </w:rPr>
        <w:t xml:space="preserve"> include:</w:t>
      </w:r>
    </w:p>
    <w:p w14:paraId="158580B4" w14:textId="24561250" w:rsidR="005C2E8B" w:rsidRDefault="005C2E8B" w:rsidP="008A5CF4">
      <w:pPr>
        <w:spacing w:line="264" w:lineRule="auto"/>
        <w:contextualSpacing/>
        <w:jc w:val="both"/>
        <w:rPr>
          <w:rFonts w:ascii="Arial" w:hAnsi="Arial" w:cs="Arial"/>
          <w:szCs w:val="24"/>
        </w:rPr>
      </w:pPr>
    </w:p>
    <w:p w14:paraId="70B8F135" w14:textId="07FD1472" w:rsidR="00A85D8F" w:rsidRDefault="00D93D4D" w:rsidP="0003244A">
      <w:pPr>
        <w:spacing w:line="264" w:lineRule="auto"/>
        <w:contextualSpacing/>
        <w:jc w:val="both"/>
        <w:rPr>
          <w:rFonts w:ascii="Arial" w:hAnsi="Arial" w:cs="Arial"/>
          <w:szCs w:val="24"/>
        </w:rPr>
      </w:pPr>
      <w:r>
        <w:rPr>
          <w:rFonts w:ascii="Arial" w:hAnsi="Arial" w:cs="Arial"/>
          <w:b/>
          <w:bCs/>
          <w:szCs w:val="24"/>
        </w:rPr>
        <w:t xml:space="preserve">Restoration </w:t>
      </w:r>
      <w:r w:rsidR="00C93406">
        <w:rPr>
          <w:rFonts w:ascii="Arial" w:hAnsi="Arial" w:cs="Arial"/>
          <w:b/>
          <w:bCs/>
          <w:szCs w:val="24"/>
        </w:rPr>
        <w:t xml:space="preserve">of </w:t>
      </w:r>
      <w:r>
        <w:rPr>
          <w:rFonts w:ascii="Arial" w:hAnsi="Arial" w:cs="Arial"/>
          <w:b/>
          <w:bCs/>
          <w:szCs w:val="24"/>
        </w:rPr>
        <w:t>and a</w:t>
      </w:r>
      <w:r w:rsidR="0003244A" w:rsidRPr="009055AC">
        <w:rPr>
          <w:rFonts w:ascii="Arial" w:hAnsi="Arial" w:cs="Arial"/>
          <w:b/>
          <w:bCs/>
          <w:szCs w:val="24"/>
        </w:rPr>
        <w:t>dditions to f</w:t>
      </w:r>
      <w:r w:rsidR="00D35E4E" w:rsidRPr="009055AC">
        <w:rPr>
          <w:rFonts w:ascii="Arial" w:hAnsi="Arial" w:cs="Arial"/>
          <w:b/>
          <w:bCs/>
          <w:szCs w:val="24"/>
        </w:rPr>
        <w:t>ixed route transit service</w:t>
      </w:r>
      <w:r w:rsidR="00560419" w:rsidRPr="009055AC">
        <w:rPr>
          <w:rFonts w:ascii="Arial" w:hAnsi="Arial" w:cs="Arial"/>
          <w:b/>
          <w:bCs/>
          <w:szCs w:val="24"/>
        </w:rPr>
        <w:t xml:space="preserve">. </w:t>
      </w:r>
      <w:r w:rsidR="004860DE" w:rsidRPr="009055AC">
        <w:rPr>
          <w:rFonts w:ascii="Arial" w:hAnsi="Arial" w:cs="Arial"/>
          <w:szCs w:val="24"/>
        </w:rPr>
        <w:t>Metro</w:t>
      </w:r>
      <w:r w:rsidR="004860DE">
        <w:rPr>
          <w:rFonts w:ascii="Arial" w:hAnsi="Arial" w:cs="Arial"/>
          <w:szCs w:val="24"/>
        </w:rPr>
        <w:t xml:space="preserve"> is currently operating </w:t>
      </w:r>
      <w:r w:rsidR="002F0745">
        <w:rPr>
          <w:rFonts w:ascii="Arial" w:hAnsi="Arial" w:cs="Arial"/>
          <w:szCs w:val="24"/>
        </w:rPr>
        <w:t>just under</w:t>
      </w:r>
      <w:r w:rsidR="006B2B09">
        <w:rPr>
          <w:rFonts w:ascii="Arial" w:hAnsi="Arial" w:cs="Arial"/>
          <w:szCs w:val="24"/>
        </w:rPr>
        <w:t xml:space="preserve"> </w:t>
      </w:r>
      <w:r w:rsidR="004860DE" w:rsidRPr="006B2B09">
        <w:rPr>
          <w:rFonts w:ascii="Arial" w:hAnsi="Arial" w:cs="Arial"/>
          <w:szCs w:val="24"/>
        </w:rPr>
        <w:t>9</w:t>
      </w:r>
      <w:r w:rsidR="006B2B09" w:rsidRPr="006B2B09">
        <w:rPr>
          <w:rFonts w:ascii="Arial" w:hAnsi="Arial" w:cs="Arial"/>
          <w:szCs w:val="24"/>
        </w:rPr>
        <w:t>0</w:t>
      </w:r>
      <w:r w:rsidR="00AC3C9D" w:rsidRPr="006B2B09">
        <w:rPr>
          <w:rFonts w:ascii="Arial" w:hAnsi="Arial" w:cs="Arial"/>
          <w:szCs w:val="24"/>
        </w:rPr>
        <w:t xml:space="preserve"> percent</w:t>
      </w:r>
      <w:r w:rsidR="004860DE" w:rsidRPr="006B2B09">
        <w:rPr>
          <w:rFonts w:ascii="Arial" w:hAnsi="Arial" w:cs="Arial"/>
          <w:szCs w:val="24"/>
        </w:rPr>
        <w:t xml:space="preserve"> of</w:t>
      </w:r>
      <w:r w:rsidR="004860DE">
        <w:rPr>
          <w:rFonts w:ascii="Arial" w:hAnsi="Arial" w:cs="Arial"/>
          <w:szCs w:val="24"/>
        </w:rPr>
        <w:t xml:space="preserve"> pre-pandemic</w:t>
      </w:r>
      <w:r w:rsidR="00215EE8">
        <w:rPr>
          <w:rFonts w:ascii="Arial" w:hAnsi="Arial" w:cs="Arial"/>
          <w:szCs w:val="24"/>
        </w:rPr>
        <w:t xml:space="preserve"> fixed-route</w:t>
      </w:r>
      <w:r w:rsidR="004860DE">
        <w:rPr>
          <w:rFonts w:ascii="Arial" w:hAnsi="Arial" w:cs="Arial"/>
          <w:szCs w:val="24"/>
        </w:rPr>
        <w:t xml:space="preserve"> service levels</w:t>
      </w:r>
      <w:r w:rsidR="00A30468">
        <w:rPr>
          <w:rFonts w:ascii="Arial" w:hAnsi="Arial" w:cs="Arial"/>
          <w:szCs w:val="24"/>
        </w:rPr>
        <w:t xml:space="preserve">, </w:t>
      </w:r>
      <w:r w:rsidR="00A85D8F">
        <w:rPr>
          <w:rFonts w:ascii="Arial" w:hAnsi="Arial" w:cs="Arial"/>
          <w:szCs w:val="24"/>
        </w:rPr>
        <w:t xml:space="preserve">when changes to Seattle-funded and Sound Transit-funded bus service </w:t>
      </w:r>
      <w:r w:rsidR="002103B2">
        <w:rPr>
          <w:rFonts w:ascii="Arial" w:hAnsi="Arial" w:cs="Arial"/>
          <w:szCs w:val="24"/>
        </w:rPr>
        <w:t>are</w:t>
      </w:r>
      <w:r w:rsidR="00A85D8F">
        <w:rPr>
          <w:rFonts w:ascii="Arial" w:hAnsi="Arial" w:cs="Arial"/>
          <w:szCs w:val="24"/>
        </w:rPr>
        <w:t xml:space="preserve"> factored in. Table </w:t>
      </w:r>
      <w:r w:rsidR="00B22198">
        <w:rPr>
          <w:rFonts w:ascii="Arial" w:hAnsi="Arial" w:cs="Arial"/>
          <w:szCs w:val="24"/>
        </w:rPr>
        <w:t>2</w:t>
      </w:r>
      <w:r w:rsidR="00A85D8F">
        <w:rPr>
          <w:rFonts w:ascii="Arial" w:hAnsi="Arial" w:cs="Arial"/>
          <w:szCs w:val="24"/>
        </w:rPr>
        <w:t xml:space="preserve"> shows a comparison </w:t>
      </w:r>
      <w:r w:rsidR="00491F9B">
        <w:rPr>
          <w:rFonts w:ascii="Arial" w:hAnsi="Arial" w:cs="Arial"/>
          <w:szCs w:val="24"/>
        </w:rPr>
        <w:t xml:space="preserve">of service hours </w:t>
      </w:r>
      <w:r w:rsidR="00A85D8F">
        <w:rPr>
          <w:rFonts w:ascii="Arial" w:hAnsi="Arial" w:cs="Arial"/>
          <w:szCs w:val="24"/>
        </w:rPr>
        <w:t>between 2019 and Fall 2022.</w:t>
      </w:r>
    </w:p>
    <w:p w14:paraId="65F5D398" w14:textId="77777777" w:rsidR="00A85D8F" w:rsidRDefault="00A85D8F" w:rsidP="0003244A">
      <w:pPr>
        <w:spacing w:line="264" w:lineRule="auto"/>
        <w:contextualSpacing/>
        <w:jc w:val="both"/>
        <w:rPr>
          <w:rFonts w:ascii="Arial" w:hAnsi="Arial" w:cs="Arial"/>
          <w:szCs w:val="24"/>
        </w:rPr>
      </w:pPr>
    </w:p>
    <w:p w14:paraId="5BC33406" w14:textId="4B5967DE" w:rsidR="00B22198" w:rsidRPr="00BF00D7" w:rsidRDefault="00B22198" w:rsidP="00B22198">
      <w:pPr>
        <w:keepNext/>
        <w:spacing w:after="120" w:line="264" w:lineRule="auto"/>
        <w:jc w:val="center"/>
        <w:rPr>
          <w:rFonts w:ascii="Arial" w:hAnsi="Arial" w:cs="Arial"/>
          <w:b/>
          <w:szCs w:val="24"/>
        </w:rPr>
      </w:pPr>
      <w:r w:rsidRPr="00BF00D7">
        <w:rPr>
          <w:rFonts w:ascii="Arial" w:hAnsi="Arial" w:cs="Arial"/>
          <w:b/>
          <w:szCs w:val="24"/>
        </w:rPr>
        <w:t xml:space="preserve">Table </w:t>
      </w:r>
      <w:r w:rsidR="00491F9B">
        <w:rPr>
          <w:rFonts w:ascii="Arial" w:hAnsi="Arial" w:cs="Arial"/>
          <w:b/>
          <w:szCs w:val="24"/>
        </w:rPr>
        <w:t>2</w:t>
      </w:r>
      <w:r w:rsidRPr="00BF00D7">
        <w:rPr>
          <w:rFonts w:ascii="Arial" w:hAnsi="Arial" w:cs="Arial"/>
          <w:b/>
          <w:szCs w:val="24"/>
        </w:rPr>
        <w:t xml:space="preserve">. </w:t>
      </w:r>
      <w:r w:rsidR="0068032F">
        <w:rPr>
          <w:rFonts w:ascii="Arial" w:hAnsi="Arial" w:cs="Arial"/>
          <w:b/>
          <w:szCs w:val="24"/>
        </w:rPr>
        <w:t xml:space="preserve">Metro </w:t>
      </w:r>
      <w:r w:rsidRPr="00BF00D7">
        <w:rPr>
          <w:rFonts w:ascii="Arial" w:hAnsi="Arial" w:cs="Arial"/>
          <w:b/>
          <w:szCs w:val="24"/>
        </w:rPr>
        <w:t>F</w:t>
      </w:r>
      <w:r>
        <w:rPr>
          <w:rFonts w:ascii="Arial" w:hAnsi="Arial" w:cs="Arial"/>
          <w:b/>
          <w:szCs w:val="24"/>
        </w:rPr>
        <w:t xml:space="preserve">ixed-Route </w:t>
      </w:r>
      <w:r w:rsidR="0068032F">
        <w:rPr>
          <w:rFonts w:ascii="Arial" w:hAnsi="Arial" w:cs="Arial"/>
          <w:b/>
          <w:szCs w:val="24"/>
        </w:rPr>
        <w:t>Annua</w:t>
      </w:r>
      <w:r w:rsidR="00491F9B">
        <w:rPr>
          <w:rFonts w:ascii="Arial" w:hAnsi="Arial" w:cs="Arial"/>
          <w:b/>
          <w:szCs w:val="24"/>
        </w:rPr>
        <w:t>l</w:t>
      </w:r>
      <w:r w:rsidR="0068032F">
        <w:rPr>
          <w:rFonts w:ascii="Arial" w:hAnsi="Arial" w:cs="Arial"/>
          <w:b/>
          <w:szCs w:val="24"/>
        </w:rPr>
        <w:t xml:space="preserve"> Service Hours, 2019 vs 2022</w:t>
      </w:r>
    </w:p>
    <w:tbl>
      <w:tblPr>
        <w:tblStyle w:val="ListTable3"/>
        <w:tblW w:w="0" w:type="auto"/>
        <w:jc w:val="center"/>
        <w:tblLook w:val="00A0" w:firstRow="1" w:lastRow="0" w:firstColumn="1" w:lastColumn="0" w:noHBand="0" w:noVBand="0"/>
      </w:tblPr>
      <w:tblGrid>
        <w:gridCol w:w="3078"/>
        <w:gridCol w:w="1624"/>
        <w:gridCol w:w="1625"/>
        <w:gridCol w:w="1624"/>
      </w:tblGrid>
      <w:tr w:rsidR="00D61B49" w:rsidRPr="003C3AEE" w14:paraId="448503FF" w14:textId="77777777" w:rsidTr="00C70E55">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3078" w:type="dxa"/>
            <w:tcBorders>
              <w:top w:val="nil"/>
              <w:left w:val="nil"/>
              <w:bottom w:val="single" w:sz="4" w:space="0" w:color="000000" w:themeColor="text1"/>
            </w:tcBorders>
            <w:shd w:val="clear" w:color="auto" w:fill="auto"/>
            <w:vAlign w:val="center"/>
          </w:tcPr>
          <w:p w14:paraId="15EBF816" w14:textId="6AA7CE95" w:rsidR="00D61B49" w:rsidRPr="009D650E" w:rsidRDefault="00D61B49" w:rsidP="00D61B49">
            <w:pPr>
              <w:spacing w:before="60" w:after="60"/>
              <w:rPr>
                <w:rFonts w:ascii="Arial" w:hAnsi="Arial" w:cs="Arial"/>
                <w:color w:val="auto"/>
                <w:sz w:val="20"/>
              </w:rPr>
            </w:pPr>
            <w:r>
              <w:rPr>
                <w:rFonts w:ascii="Arial" w:hAnsi="Arial" w:cs="Arial"/>
                <w:color w:val="auto"/>
                <w:sz w:val="20"/>
              </w:rPr>
              <w:t>Bus Service</w:t>
            </w:r>
          </w:p>
        </w:tc>
        <w:tc>
          <w:tcPr>
            <w:cnfStyle w:val="000010000000" w:firstRow="0" w:lastRow="0" w:firstColumn="0" w:lastColumn="0" w:oddVBand="1" w:evenVBand="0" w:oddHBand="0" w:evenHBand="0" w:firstRowFirstColumn="0" w:firstRowLastColumn="0" w:lastRowFirstColumn="0" w:lastRowLastColumn="0"/>
            <w:tcW w:w="1624" w:type="dxa"/>
            <w:tcBorders>
              <w:top w:val="nil"/>
              <w:bottom w:val="single" w:sz="4" w:space="0" w:color="000000" w:themeColor="text1"/>
            </w:tcBorders>
            <w:shd w:val="clear" w:color="auto" w:fill="auto"/>
            <w:vAlign w:val="center"/>
          </w:tcPr>
          <w:p w14:paraId="5AAAA85C" w14:textId="1D6EDD46" w:rsidR="00D61B49" w:rsidRPr="00D61B49" w:rsidRDefault="00D61B49" w:rsidP="00D61B49">
            <w:pPr>
              <w:spacing w:before="60" w:after="60"/>
              <w:jc w:val="center"/>
              <w:rPr>
                <w:rFonts w:ascii="Arial" w:hAnsi="Arial" w:cs="Arial"/>
                <w:color w:val="auto"/>
                <w:sz w:val="20"/>
              </w:rPr>
            </w:pPr>
            <w:r>
              <w:rPr>
                <w:rFonts w:ascii="Arial" w:hAnsi="Arial" w:cs="Arial"/>
                <w:color w:val="auto"/>
                <w:sz w:val="20"/>
              </w:rPr>
              <w:t>2019</w:t>
            </w:r>
          </w:p>
        </w:tc>
        <w:tc>
          <w:tcPr>
            <w:tcW w:w="1625" w:type="dxa"/>
            <w:tcBorders>
              <w:top w:val="nil"/>
              <w:bottom w:val="single" w:sz="4" w:space="0" w:color="000000" w:themeColor="text1"/>
            </w:tcBorders>
            <w:shd w:val="clear" w:color="auto" w:fill="auto"/>
            <w:vAlign w:val="center"/>
          </w:tcPr>
          <w:p w14:paraId="22C556EF" w14:textId="0DDCFEEE" w:rsidR="00D61B49" w:rsidRPr="00D61B49" w:rsidRDefault="00D61B49" w:rsidP="00D61B49">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color w:val="auto"/>
                <w:sz w:val="20"/>
              </w:rPr>
              <w:t>Fall 2022</w:t>
            </w:r>
          </w:p>
        </w:tc>
        <w:tc>
          <w:tcPr>
            <w:cnfStyle w:val="000010000000" w:firstRow="0" w:lastRow="0" w:firstColumn="0" w:lastColumn="0" w:oddVBand="1" w:evenVBand="0" w:oddHBand="0" w:evenHBand="0" w:firstRowFirstColumn="0" w:firstRowLastColumn="0" w:lastRowFirstColumn="0" w:lastRowLastColumn="0"/>
            <w:tcW w:w="1624" w:type="dxa"/>
            <w:tcBorders>
              <w:top w:val="nil"/>
              <w:bottom w:val="single" w:sz="4" w:space="0" w:color="000000" w:themeColor="text1"/>
              <w:right w:val="nil"/>
            </w:tcBorders>
            <w:shd w:val="clear" w:color="auto" w:fill="auto"/>
            <w:vAlign w:val="center"/>
          </w:tcPr>
          <w:p w14:paraId="00FC44D8" w14:textId="135F95A7" w:rsidR="00D61B49" w:rsidRPr="00D61B49" w:rsidRDefault="00D61B49" w:rsidP="00D61B49">
            <w:pPr>
              <w:spacing w:before="60" w:after="60"/>
              <w:jc w:val="center"/>
              <w:rPr>
                <w:rFonts w:ascii="Arial" w:hAnsi="Arial" w:cs="Arial"/>
                <w:color w:val="auto"/>
                <w:sz w:val="20"/>
              </w:rPr>
            </w:pPr>
            <w:r>
              <w:rPr>
                <w:rFonts w:ascii="Arial" w:hAnsi="Arial" w:cs="Arial"/>
                <w:color w:val="auto"/>
                <w:sz w:val="20"/>
              </w:rPr>
              <w:t>% of 2019</w:t>
            </w:r>
          </w:p>
        </w:tc>
      </w:tr>
      <w:tr w:rsidR="00D61B49" w:rsidRPr="003C3AEE" w14:paraId="137D82D9" w14:textId="77777777" w:rsidTr="00C70E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8" w:type="dxa"/>
            <w:tcBorders>
              <w:left w:val="nil"/>
            </w:tcBorders>
            <w:vAlign w:val="center"/>
          </w:tcPr>
          <w:p w14:paraId="3DF7387C" w14:textId="15FB582B" w:rsidR="00D61B49" w:rsidRPr="009D650E" w:rsidRDefault="00D61B49" w:rsidP="00D61B49">
            <w:pPr>
              <w:spacing w:before="60" w:after="60"/>
              <w:rPr>
                <w:rFonts w:ascii="Arial" w:hAnsi="Arial" w:cs="Arial"/>
                <w:b w:val="0"/>
                <w:sz w:val="20"/>
              </w:rPr>
            </w:pPr>
            <w:r>
              <w:rPr>
                <w:rFonts w:ascii="Arial" w:hAnsi="Arial" w:cs="Arial"/>
                <w:b w:val="0"/>
                <w:sz w:val="20"/>
              </w:rPr>
              <w:t>King County Metro funded</w:t>
            </w:r>
          </w:p>
        </w:tc>
        <w:tc>
          <w:tcPr>
            <w:cnfStyle w:val="000010000000" w:firstRow="0" w:lastRow="0" w:firstColumn="0" w:lastColumn="0" w:oddVBand="1" w:evenVBand="0" w:oddHBand="0" w:evenHBand="0" w:firstRowFirstColumn="0" w:firstRowLastColumn="0" w:lastRowFirstColumn="0" w:lastRowLastColumn="0"/>
            <w:tcW w:w="1624" w:type="dxa"/>
            <w:vAlign w:val="center"/>
          </w:tcPr>
          <w:p w14:paraId="409B2F49" w14:textId="46D46D68" w:rsidR="00D61B49" w:rsidRPr="006343EC" w:rsidRDefault="00C70E55" w:rsidP="00D61B49">
            <w:pPr>
              <w:spacing w:before="60" w:after="60"/>
              <w:jc w:val="center"/>
              <w:rPr>
                <w:rFonts w:ascii="Arial" w:hAnsi="Arial" w:cs="Arial"/>
                <w:sz w:val="20"/>
              </w:rPr>
            </w:pPr>
            <w:r>
              <w:rPr>
                <w:rFonts w:ascii="Arial" w:hAnsi="Arial" w:cs="Arial"/>
                <w:sz w:val="20"/>
              </w:rPr>
              <w:t>3,855,000</w:t>
            </w:r>
          </w:p>
        </w:tc>
        <w:tc>
          <w:tcPr>
            <w:tcW w:w="1625" w:type="dxa"/>
            <w:vAlign w:val="center"/>
          </w:tcPr>
          <w:p w14:paraId="114B208C" w14:textId="7436BD04" w:rsidR="00D61B49" w:rsidRPr="006343EC" w:rsidRDefault="00C70E55" w:rsidP="00D61B49">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3,508,000</w:t>
            </w:r>
          </w:p>
        </w:tc>
        <w:tc>
          <w:tcPr>
            <w:cnfStyle w:val="000010000000" w:firstRow="0" w:lastRow="0" w:firstColumn="0" w:lastColumn="0" w:oddVBand="1" w:evenVBand="0" w:oddHBand="0" w:evenHBand="0" w:firstRowFirstColumn="0" w:firstRowLastColumn="0" w:lastRowFirstColumn="0" w:lastRowLastColumn="0"/>
            <w:tcW w:w="1624" w:type="dxa"/>
            <w:tcBorders>
              <w:right w:val="nil"/>
            </w:tcBorders>
            <w:vAlign w:val="center"/>
          </w:tcPr>
          <w:p w14:paraId="2F5BD106" w14:textId="7DF76B5E" w:rsidR="00D61B49" w:rsidRPr="006343EC" w:rsidRDefault="00C70E55" w:rsidP="00D61B49">
            <w:pPr>
              <w:spacing w:before="60" w:after="60"/>
              <w:jc w:val="center"/>
              <w:rPr>
                <w:rFonts w:ascii="Arial" w:hAnsi="Arial" w:cs="Arial"/>
                <w:sz w:val="20"/>
              </w:rPr>
            </w:pPr>
            <w:r>
              <w:rPr>
                <w:rFonts w:ascii="Arial" w:hAnsi="Arial" w:cs="Arial"/>
                <w:sz w:val="20"/>
              </w:rPr>
              <w:t>91%</w:t>
            </w:r>
          </w:p>
        </w:tc>
      </w:tr>
      <w:tr w:rsidR="00D61B49" w:rsidRPr="003C3AEE" w14:paraId="3DC26CB6" w14:textId="77777777" w:rsidTr="00C70E55">
        <w:trPr>
          <w:jc w:val="center"/>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000000" w:themeColor="text1"/>
              <w:left w:val="nil"/>
              <w:bottom w:val="single" w:sz="4" w:space="0" w:color="000000" w:themeColor="text1"/>
            </w:tcBorders>
            <w:vAlign w:val="center"/>
          </w:tcPr>
          <w:p w14:paraId="51116F03" w14:textId="06302697" w:rsidR="00D61B49" w:rsidRPr="009D650E" w:rsidRDefault="00D61B49" w:rsidP="00D61B49">
            <w:pPr>
              <w:spacing w:before="60" w:after="60"/>
              <w:rPr>
                <w:rFonts w:ascii="Arial" w:hAnsi="Arial" w:cs="Arial"/>
                <w:b w:val="0"/>
                <w:sz w:val="20"/>
              </w:rPr>
            </w:pPr>
            <w:r>
              <w:rPr>
                <w:rFonts w:ascii="Arial" w:hAnsi="Arial" w:cs="Arial"/>
                <w:b w:val="0"/>
                <w:sz w:val="20"/>
              </w:rPr>
              <w:t>City of Seattle funded</w:t>
            </w:r>
          </w:p>
        </w:tc>
        <w:tc>
          <w:tcPr>
            <w:cnfStyle w:val="000010000000" w:firstRow="0" w:lastRow="0" w:firstColumn="0" w:lastColumn="0" w:oddVBand="1" w:evenVBand="0" w:oddHBand="0" w:evenHBand="0" w:firstRowFirstColumn="0" w:firstRowLastColumn="0" w:lastRowFirstColumn="0" w:lastRowLastColumn="0"/>
            <w:tcW w:w="1624" w:type="dxa"/>
            <w:tcBorders>
              <w:top w:val="single" w:sz="4" w:space="0" w:color="000000" w:themeColor="text1"/>
              <w:bottom w:val="single" w:sz="4" w:space="0" w:color="000000" w:themeColor="text1"/>
            </w:tcBorders>
            <w:vAlign w:val="center"/>
          </w:tcPr>
          <w:p w14:paraId="277B077C" w14:textId="2DD058C3" w:rsidR="00D61B49" w:rsidRPr="006343EC" w:rsidRDefault="00C70E55" w:rsidP="00D61B49">
            <w:pPr>
              <w:spacing w:before="60" w:after="60"/>
              <w:jc w:val="center"/>
              <w:rPr>
                <w:rFonts w:ascii="Arial" w:hAnsi="Arial" w:cs="Arial"/>
                <w:sz w:val="20"/>
              </w:rPr>
            </w:pPr>
            <w:r>
              <w:rPr>
                <w:rFonts w:ascii="Arial" w:hAnsi="Arial" w:cs="Arial"/>
                <w:sz w:val="20"/>
              </w:rPr>
              <w:t>310,000</w:t>
            </w:r>
          </w:p>
        </w:tc>
        <w:tc>
          <w:tcPr>
            <w:tcW w:w="1625" w:type="dxa"/>
            <w:tcBorders>
              <w:top w:val="single" w:sz="4" w:space="0" w:color="000000" w:themeColor="text1"/>
              <w:bottom w:val="single" w:sz="4" w:space="0" w:color="000000" w:themeColor="text1"/>
            </w:tcBorders>
            <w:vAlign w:val="center"/>
          </w:tcPr>
          <w:p w14:paraId="0BC69885" w14:textId="7A366677" w:rsidR="00D61B49" w:rsidRPr="006343EC" w:rsidRDefault="00C70E55" w:rsidP="00D61B49">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139,000</w:t>
            </w:r>
          </w:p>
        </w:tc>
        <w:tc>
          <w:tcPr>
            <w:cnfStyle w:val="000010000000" w:firstRow="0" w:lastRow="0" w:firstColumn="0" w:lastColumn="0" w:oddVBand="1" w:evenVBand="0" w:oddHBand="0" w:evenHBand="0" w:firstRowFirstColumn="0" w:firstRowLastColumn="0" w:lastRowFirstColumn="0" w:lastRowLastColumn="0"/>
            <w:tcW w:w="1624" w:type="dxa"/>
            <w:tcBorders>
              <w:top w:val="single" w:sz="4" w:space="0" w:color="000000" w:themeColor="text1"/>
              <w:bottom w:val="single" w:sz="4" w:space="0" w:color="000000" w:themeColor="text1"/>
              <w:right w:val="nil"/>
            </w:tcBorders>
            <w:vAlign w:val="center"/>
          </w:tcPr>
          <w:p w14:paraId="287521DC" w14:textId="7D6FB7BC" w:rsidR="00D61B49" w:rsidRPr="006343EC" w:rsidRDefault="00C70E55" w:rsidP="00D61B49">
            <w:pPr>
              <w:spacing w:before="60" w:after="60"/>
              <w:jc w:val="center"/>
              <w:rPr>
                <w:rFonts w:ascii="Arial" w:hAnsi="Arial" w:cs="Arial"/>
                <w:sz w:val="20"/>
              </w:rPr>
            </w:pPr>
            <w:r>
              <w:rPr>
                <w:rFonts w:ascii="Arial" w:hAnsi="Arial" w:cs="Arial"/>
                <w:sz w:val="20"/>
              </w:rPr>
              <w:t>45%</w:t>
            </w:r>
          </w:p>
        </w:tc>
      </w:tr>
      <w:tr w:rsidR="00D61B49" w:rsidRPr="003C3AEE" w14:paraId="09934C43" w14:textId="77777777" w:rsidTr="00C70E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8" w:type="dxa"/>
            <w:tcBorders>
              <w:left w:val="nil"/>
            </w:tcBorders>
            <w:vAlign w:val="center"/>
          </w:tcPr>
          <w:p w14:paraId="66D16638" w14:textId="4BEF9D42" w:rsidR="00D61B49" w:rsidRPr="009D650E" w:rsidRDefault="00D61B49" w:rsidP="00D61B49">
            <w:pPr>
              <w:spacing w:before="60" w:after="60"/>
              <w:rPr>
                <w:rFonts w:ascii="Arial" w:hAnsi="Arial" w:cs="Arial"/>
                <w:b w:val="0"/>
                <w:sz w:val="20"/>
              </w:rPr>
            </w:pPr>
            <w:r>
              <w:rPr>
                <w:rFonts w:ascii="Arial" w:hAnsi="Arial" w:cs="Arial"/>
                <w:b w:val="0"/>
                <w:sz w:val="20"/>
              </w:rPr>
              <w:t>Sound Transit funded</w:t>
            </w:r>
          </w:p>
        </w:tc>
        <w:tc>
          <w:tcPr>
            <w:cnfStyle w:val="000010000000" w:firstRow="0" w:lastRow="0" w:firstColumn="0" w:lastColumn="0" w:oddVBand="1" w:evenVBand="0" w:oddHBand="0" w:evenHBand="0" w:firstRowFirstColumn="0" w:firstRowLastColumn="0" w:lastRowFirstColumn="0" w:lastRowLastColumn="0"/>
            <w:tcW w:w="1624" w:type="dxa"/>
            <w:vAlign w:val="center"/>
          </w:tcPr>
          <w:p w14:paraId="591C6213" w14:textId="2FF6CD9D" w:rsidR="00D61B49" w:rsidRPr="006343EC" w:rsidRDefault="00C70E55" w:rsidP="00D61B49">
            <w:pPr>
              <w:spacing w:before="60" w:after="60"/>
              <w:jc w:val="center"/>
              <w:rPr>
                <w:rFonts w:ascii="Arial" w:hAnsi="Arial" w:cs="Arial"/>
                <w:sz w:val="20"/>
              </w:rPr>
            </w:pPr>
            <w:r>
              <w:rPr>
                <w:rFonts w:ascii="Arial" w:hAnsi="Arial" w:cs="Arial"/>
                <w:sz w:val="20"/>
              </w:rPr>
              <w:t>320,000</w:t>
            </w:r>
          </w:p>
        </w:tc>
        <w:tc>
          <w:tcPr>
            <w:tcW w:w="1625" w:type="dxa"/>
            <w:vAlign w:val="center"/>
          </w:tcPr>
          <w:p w14:paraId="18A9FA9D" w14:textId="52AC86EF" w:rsidR="00D61B49" w:rsidRPr="006343EC" w:rsidRDefault="00C70E55" w:rsidP="00D61B49">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263,000</w:t>
            </w:r>
          </w:p>
        </w:tc>
        <w:tc>
          <w:tcPr>
            <w:cnfStyle w:val="000010000000" w:firstRow="0" w:lastRow="0" w:firstColumn="0" w:lastColumn="0" w:oddVBand="1" w:evenVBand="0" w:oddHBand="0" w:evenHBand="0" w:firstRowFirstColumn="0" w:firstRowLastColumn="0" w:lastRowFirstColumn="0" w:lastRowLastColumn="0"/>
            <w:tcW w:w="1624" w:type="dxa"/>
            <w:tcBorders>
              <w:right w:val="nil"/>
            </w:tcBorders>
            <w:vAlign w:val="center"/>
          </w:tcPr>
          <w:p w14:paraId="75A6154C" w14:textId="765661DA" w:rsidR="00D61B49" w:rsidRPr="006343EC" w:rsidRDefault="00C70E55" w:rsidP="00D61B49">
            <w:pPr>
              <w:spacing w:before="60" w:after="60"/>
              <w:jc w:val="center"/>
              <w:rPr>
                <w:rFonts w:ascii="Arial" w:hAnsi="Arial" w:cs="Arial"/>
                <w:sz w:val="20"/>
              </w:rPr>
            </w:pPr>
            <w:r>
              <w:rPr>
                <w:rFonts w:ascii="Arial" w:hAnsi="Arial" w:cs="Arial"/>
                <w:sz w:val="20"/>
              </w:rPr>
              <w:t>82%</w:t>
            </w:r>
          </w:p>
        </w:tc>
      </w:tr>
      <w:tr w:rsidR="00D61B49" w:rsidRPr="003C3AEE" w14:paraId="40F5D101" w14:textId="77777777" w:rsidTr="00C70E55">
        <w:trPr>
          <w:jc w:val="center"/>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000000" w:themeColor="text1"/>
              <w:left w:val="nil"/>
              <w:bottom w:val="single" w:sz="4" w:space="0" w:color="000000" w:themeColor="text1"/>
            </w:tcBorders>
            <w:vAlign w:val="center"/>
          </w:tcPr>
          <w:p w14:paraId="72E15B29" w14:textId="658E2A95" w:rsidR="00D61B49" w:rsidRPr="00D61B49" w:rsidRDefault="00D61B49" w:rsidP="00D61B49">
            <w:pPr>
              <w:spacing w:before="60" w:after="60"/>
              <w:rPr>
                <w:rFonts w:ascii="Arial" w:hAnsi="Arial" w:cs="Arial"/>
                <w:bCs w:val="0"/>
                <w:sz w:val="20"/>
              </w:rPr>
            </w:pPr>
            <w:r w:rsidRPr="00D61B49">
              <w:rPr>
                <w:rFonts w:ascii="Arial" w:hAnsi="Arial" w:cs="Arial"/>
                <w:bCs w:val="0"/>
                <w:sz w:val="20"/>
              </w:rPr>
              <w:t>Total Hours</w:t>
            </w:r>
          </w:p>
        </w:tc>
        <w:tc>
          <w:tcPr>
            <w:cnfStyle w:val="000010000000" w:firstRow="0" w:lastRow="0" w:firstColumn="0" w:lastColumn="0" w:oddVBand="1" w:evenVBand="0" w:oddHBand="0" w:evenHBand="0" w:firstRowFirstColumn="0" w:firstRowLastColumn="0" w:lastRowFirstColumn="0" w:lastRowLastColumn="0"/>
            <w:tcW w:w="1624" w:type="dxa"/>
            <w:tcBorders>
              <w:top w:val="single" w:sz="4" w:space="0" w:color="000000" w:themeColor="text1"/>
              <w:bottom w:val="single" w:sz="4" w:space="0" w:color="000000" w:themeColor="text1"/>
            </w:tcBorders>
            <w:vAlign w:val="center"/>
          </w:tcPr>
          <w:p w14:paraId="262DD09F" w14:textId="6ACF4709" w:rsidR="00D61B49" w:rsidRPr="00C70E55" w:rsidRDefault="00C70E55" w:rsidP="00D61B49">
            <w:pPr>
              <w:spacing w:before="60" w:after="60"/>
              <w:jc w:val="center"/>
              <w:rPr>
                <w:rFonts w:ascii="Arial" w:hAnsi="Arial" w:cs="Arial"/>
                <w:b/>
                <w:bCs/>
                <w:sz w:val="20"/>
              </w:rPr>
            </w:pPr>
            <w:r w:rsidRPr="00C70E55">
              <w:rPr>
                <w:rFonts w:ascii="Arial" w:hAnsi="Arial" w:cs="Arial"/>
                <w:b/>
                <w:bCs/>
                <w:sz w:val="20"/>
              </w:rPr>
              <w:t>4,485,000</w:t>
            </w:r>
          </w:p>
        </w:tc>
        <w:tc>
          <w:tcPr>
            <w:tcW w:w="1625" w:type="dxa"/>
            <w:tcBorders>
              <w:top w:val="single" w:sz="4" w:space="0" w:color="000000" w:themeColor="text1"/>
              <w:bottom w:val="single" w:sz="4" w:space="0" w:color="000000" w:themeColor="text1"/>
            </w:tcBorders>
            <w:vAlign w:val="center"/>
          </w:tcPr>
          <w:p w14:paraId="565A39E6" w14:textId="7CA83B5E" w:rsidR="00D61B49" w:rsidRPr="00C70E55" w:rsidRDefault="00C70E55" w:rsidP="00D61B49">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C70E55">
              <w:rPr>
                <w:rFonts w:ascii="Arial" w:hAnsi="Arial" w:cs="Arial"/>
                <w:b/>
                <w:bCs/>
                <w:sz w:val="20"/>
              </w:rPr>
              <w:t>3,910,000</w:t>
            </w:r>
          </w:p>
        </w:tc>
        <w:tc>
          <w:tcPr>
            <w:cnfStyle w:val="000010000000" w:firstRow="0" w:lastRow="0" w:firstColumn="0" w:lastColumn="0" w:oddVBand="1" w:evenVBand="0" w:oddHBand="0" w:evenHBand="0" w:firstRowFirstColumn="0" w:firstRowLastColumn="0" w:lastRowFirstColumn="0" w:lastRowLastColumn="0"/>
            <w:tcW w:w="1624" w:type="dxa"/>
            <w:tcBorders>
              <w:top w:val="single" w:sz="4" w:space="0" w:color="000000" w:themeColor="text1"/>
              <w:bottom w:val="single" w:sz="4" w:space="0" w:color="000000" w:themeColor="text1"/>
              <w:right w:val="nil"/>
            </w:tcBorders>
            <w:vAlign w:val="center"/>
          </w:tcPr>
          <w:p w14:paraId="4745953D" w14:textId="2EFD79BB" w:rsidR="00D61B49" w:rsidRPr="00C70E55" w:rsidRDefault="00C70E55" w:rsidP="00D61B49">
            <w:pPr>
              <w:spacing w:before="60" w:after="60"/>
              <w:jc w:val="center"/>
              <w:rPr>
                <w:rFonts w:ascii="Arial" w:hAnsi="Arial" w:cs="Arial"/>
                <w:b/>
                <w:bCs/>
                <w:sz w:val="20"/>
              </w:rPr>
            </w:pPr>
            <w:r w:rsidRPr="00C70E55">
              <w:rPr>
                <w:rFonts w:ascii="Arial" w:hAnsi="Arial" w:cs="Arial"/>
                <w:b/>
                <w:bCs/>
                <w:sz w:val="20"/>
              </w:rPr>
              <w:t>87%</w:t>
            </w:r>
          </w:p>
        </w:tc>
      </w:tr>
    </w:tbl>
    <w:p w14:paraId="315FE855" w14:textId="77777777" w:rsidR="00D61B49" w:rsidRDefault="00D61B49" w:rsidP="00D61B49">
      <w:pPr>
        <w:spacing w:line="264" w:lineRule="auto"/>
        <w:contextualSpacing/>
        <w:jc w:val="both"/>
        <w:rPr>
          <w:rFonts w:ascii="Arial" w:hAnsi="Arial" w:cs="Arial"/>
          <w:szCs w:val="24"/>
          <w:highlight w:val="yellow"/>
        </w:rPr>
      </w:pPr>
    </w:p>
    <w:p w14:paraId="731AC086" w14:textId="0F6D6DDC" w:rsidR="004860DE" w:rsidRDefault="00AC3C9D" w:rsidP="0003244A">
      <w:pPr>
        <w:spacing w:line="264" w:lineRule="auto"/>
        <w:contextualSpacing/>
        <w:jc w:val="both"/>
        <w:rPr>
          <w:rFonts w:ascii="Arial" w:hAnsi="Arial" w:cs="Arial"/>
          <w:szCs w:val="24"/>
        </w:rPr>
      </w:pPr>
      <w:r>
        <w:rPr>
          <w:rFonts w:ascii="Arial" w:hAnsi="Arial" w:cs="Arial"/>
          <w:szCs w:val="24"/>
        </w:rPr>
        <w:t>In March 2020, in response to the onset of the pandemic, Metro began a series of emergency service reductions,</w:t>
      </w:r>
      <w:r w:rsidR="00C93F13">
        <w:rPr>
          <w:rStyle w:val="FootnoteReference"/>
          <w:rFonts w:ascii="Arial" w:hAnsi="Arial" w:cs="Arial"/>
          <w:szCs w:val="24"/>
        </w:rPr>
        <w:footnoteReference w:id="15"/>
      </w:r>
      <w:r>
        <w:rPr>
          <w:rFonts w:ascii="Arial" w:hAnsi="Arial" w:cs="Arial"/>
          <w:szCs w:val="24"/>
        </w:rPr>
        <w:t xml:space="preserve"> ultimately reducing service to </w:t>
      </w:r>
      <w:r w:rsidR="00B966A4">
        <w:rPr>
          <w:rFonts w:ascii="Arial" w:hAnsi="Arial" w:cs="Arial"/>
          <w:szCs w:val="24"/>
        </w:rPr>
        <w:t xml:space="preserve">approximately </w:t>
      </w:r>
      <w:r>
        <w:rPr>
          <w:rFonts w:ascii="Arial" w:hAnsi="Arial" w:cs="Arial"/>
          <w:szCs w:val="24"/>
        </w:rPr>
        <w:t xml:space="preserve">85 percent of pre-pandemic levels. </w:t>
      </w:r>
      <w:r w:rsidR="00215EE8">
        <w:rPr>
          <w:rFonts w:ascii="Arial" w:hAnsi="Arial" w:cs="Arial"/>
          <w:szCs w:val="24"/>
        </w:rPr>
        <w:t>The</w:t>
      </w:r>
      <w:r w:rsidR="00EA17A5">
        <w:rPr>
          <w:rFonts w:ascii="Arial" w:hAnsi="Arial" w:cs="Arial"/>
          <w:szCs w:val="24"/>
        </w:rPr>
        <w:t xml:space="preserve"> reduced </w:t>
      </w:r>
      <w:r w:rsidR="00215EE8">
        <w:rPr>
          <w:rFonts w:ascii="Arial" w:hAnsi="Arial" w:cs="Arial"/>
          <w:szCs w:val="24"/>
        </w:rPr>
        <w:t xml:space="preserve">service </w:t>
      </w:r>
      <w:r w:rsidR="00EA17A5">
        <w:rPr>
          <w:rFonts w:ascii="Arial" w:hAnsi="Arial" w:cs="Arial"/>
          <w:szCs w:val="24"/>
        </w:rPr>
        <w:t>was</w:t>
      </w:r>
      <w:r>
        <w:rPr>
          <w:rFonts w:ascii="Arial" w:hAnsi="Arial" w:cs="Arial"/>
          <w:szCs w:val="24"/>
        </w:rPr>
        <w:t xml:space="preserve"> </w:t>
      </w:r>
      <w:r w:rsidR="00AF4638">
        <w:rPr>
          <w:rFonts w:ascii="Arial" w:hAnsi="Arial" w:cs="Arial"/>
          <w:szCs w:val="24"/>
        </w:rPr>
        <w:t>expected to be fully restored by the end of the 2021-2022 biennium</w:t>
      </w:r>
      <w:r w:rsidR="00E17DA5">
        <w:rPr>
          <w:rFonts w:ascii="Arial" w:hAnsi="Arial" w:cs="Arial"/>
          <w:szCs w:val="24"/>
        </w:rPr>
        <w:t>, but o</w:t>
      </w:r>
      <w:r w:rsidR="00AF4638">
        <w:rPr>
          <w:rFonts w:ascii="Arial" w:hAnsi="Arial" w:cs="Arial"/>
          <w:szCs w:val="24"/>
        </w:rPr>
        <w:t xml:space="preserve">ngoing staffing shortfalls and </w:t>
      </w:r>
      <w:r w:rsidR="00CF4A12">
        <w:rPr>
          <w:rFonts w:ascii="Arial" w:hAnsi="Arial" w:cs="Arial"/>
          <w:szCs w:val="24"/>
        </w:rPr>
        <w:t xml:space="preserve">slow ridership recovery prevented Metro from </w:t>
      </w:r>
      <w:r w:rsidR="00E17DA5">
        <w:rPr>
          <w:rFonts w:ascii="Arial" w:hAnsi="Arial" w:cs="Arial"/>
          <w:szCs w:val="24"/>
        </w:rPr>
        <w:t>fully restoring the suspended service</w:t>
      </w:r>
      <w:r w:rsidR="007526C7">
        <w:rPr>
          <w:rFonts w:ascii="Arial" w:hAnsi="Arial" w:cs="Arial"/>
          <w:szCs w:val="24"/>
        </w:rPr>
        <w:t xml:space="preserve">. Eighteen routes remain fully suspended, with many more </w:t>
      </w:r>
      <w:r w:rsidR="00FF7A01">
        <w:rPr>
          <w:rFonts w:ascii="Arial" w:hAnsi="Arial" w:cs="Arial"/>
          <w:szCs w:val="24"/>
        </w:rPr>
        <w:t>continuing partial suspension</w:t>
      </w:r>
      <w:r w:rsidR="008C3DDD">
        <w:rPr>
          <w:rFonts w:ascii="Arial" w:hAnsi="Arial" w:cs="Arial"/>
          <w:szCs w:val="24"/>
        </w:rPr>
        <w:t>s</w:t>
      </w:r>
      <w:r w:rsidR="00FF7A01">
        <w:rPr>
          <w:rFonts w:ascii="Arial" w:hAnsi="Arial" w:cs="Arial"/>
          <w:szCs w:val="24"/>
        </w:rPr>
        <w:t xml:space="preserve"> of service.</w:t>
      </w:r>
      <w:r w:rsidR="00FF7A01">
        <w:rPr>
          <w:rStyle w:val="FootnoteReference"/>
          <w:rFonts w:ascii="Arial" w:hAnsi="Arial" w:cs="Arial"/>
          <w:szCs w:val="24"/>
        </w:rPr>
        <w:footnoteReference w:id="16"/>
      </w:r>
      <w:r w:rsidR="00FF7A01">
        <w:rPr>
          <w:rFonts w:ascii="Arial" w:hAnsi="Arial" w:cs="Arial"/>
          <w:szCs w:val="24"/>
        </w:rPr>
        <w:t xml:space="preserve"> </w:t>
      </w:r>
      <w:r w:rsidR="002F3022" w:rsidRPr="009055AC">
        <w:rPr>
          <w:rFonts w:ascii="Arial" w:hAnsi="Arial" w:cs="Arial"/>
          <w:szCs w:val="24"/>
          <w:highlight w:val="yellow"/>
        </w:rPr>
        <w:t xml:space="preserve"> </w:t>
      </w:r>
    </w:p>
    <w:p w14:paraId="3D4526C9" w14:textId="1F4B4081" w:rsidR="004860DE" w:rsidRDefault="004860DE" w:rsidP="0003244A">
      <w:pPr>
        <w:spacing w:line="264" w:lineRule="auto"/>
        <w:contextualSpacing/>
        <w:jc w:val="both"/>
        <w:rPr>
          <w:rFonts w:ascii="Arial" w:hAnsi="Arial" w:cs="Arial"/>
          <w:szCs w:val="24"/>
        </w:rPr>
      </w:pPr>
    </w:p>
    <w:p w14:paraId="24F64B1E" w14:textId="7A3CFE3C" w:rsidR="007101CC" w:rsidRPr="00D51A97" w:rsidRDefault="0009141C" w:rsidP="0003244A">
      <w:pPr>
        <w:spacing w:line="264" w:lineRule="auto"/>
        <w:contextualSpacing/>
        <w:jc w:val="both"/>
        <w:rPr>
          <w:rFonts w:ascii="Arial" w:hAnsi="Arial" w:cs="Arial"/>
          <w:szCs w:val="24"/>
          <w:highlight w:val="yellow"/>
        </w:rPr>
      </w:pPr>
      <w:r>
        <w:rPr>
          <w:rFonts w:ascii="Arial" w:hAnsi="Arial" w:cs="Arial"/>
          <w:szCs w:val="24"/>
        </w:rPr>
        <w:t>T</w:t>
      </w:r>
      <w:r w:rsidR="007101CC">
        <w:rPr>
          <w:rFonts w:ascii="Arial" w:hAnsi="Arial" w:cs="Arial"/>
          <w:szCs w:val="24"/>
        </w:rPr>
        <w:t xml:space="preserve">he proposed budget would add </w:t>
      </w:r>
      <w:r w:rsidR="002E4F42">
        <w:rPr>
          <w:rFonts w:ascii="Arial" w:hAnsi="Arial" w:cs="Arial"/>
          <w:szCs w:val="24"/>
        </w:rPr>
        <w:t xml:space="preserve">a net </w:t>
      </w:r>
      <w:r w:rsidR="007101CC">
        <w:rPr>
          <w:rFonts w:ascii="Arial" w:hAnsi="Arial" w:cs="Arial"/>
          <w:szCs w:val="24"/>
        </w:rPr>
        <w:t>191,000 service hours of fixed-route service</w:t>
      </w:r>
      <w:r w:rsidR="00F979D1">
        <w:rPr>
          <w:rFonts w:ascii="Arial" w:hAnsi="Arial" w:cs="Arial"/>
          <w:szCs w:val="24"/>
        </w:rPr>
        <w:t xml:space="preserve"> at a cost of $12.4 million</w:t>
      </w:r>
      <w:r w:rsidR="006C03A1">
        <w:rPr>
          <w:rFonts w:ascii="Arial" w:hAnsi="Arial" w:cs="Arial"/>
          <w:szCs w:val="24"/>
        </w:rPr>
        <w:t xml:space="preserve"> and</w:t>
      </w:r>
      <w:r w:rsidR="009C07AF">
        <w:rPr>
          <w:rFonts w:ascii="Arial" w:hAnsi="Arial" w:cs="Arial"/>
          <w:szCs w:val="24"/>
        </w:rPr>
        <w:t xml:space="preserve"> </w:t>
      </w:r>
      <w:r w:rsidR="00E8619A" w:rsidRPr="00621FB9">
        <w:rPr>
          <w:rFonts w:ascii="Arial" w:hAnsi="Arial" w:cs="Arial"/>
          <w:szCs w:val="24"/>
        </w:rPr>
        <w:t>18</w:t>
      </w:r>
      <w:r w:rsidR="009C07AF" w:rsidRPr="00621FB9">
        <w:rPr>
          <w:rFonts w:ascii="Arial" w:hAnsi="Arial" w:cs="Arial"/>
          <w:szCs w:val="24"/>
        </w:rPr>
        <w:t xml:space="preserve"> FTE</w:t>
      </w:r>
      <w:r w:rsidR="007101CC" w:rsidRPr="00621FB9">
        <w:rPr>
          <w:rFonts w:ascii="Arial" w:hAnsi="Arial" w:cs="Arial"/>
          <w:szCs w:val="24"/>
        </w:rPr>
        <w:t xml:space="preserve">. </w:t>
      </w:r>
      <w:r w:rsidR="00981F5A" w:rsidRPr="00621FB9">
        <w:rPr>
          <w:rFonts w:ascii="Arial" w:hAnsi="Arial" w:cs="Arial"/>
          <w:szCs w:val="24"/>
        </w:rPr>
        <w:t>These</w:t>
      </w:r>
      <w:r w:rsidR="00981F5A">
        <w:rPr>
          <w:rFonts w:ascii="Arial" w:hAnsi="Arial" w:cs="Arial"/>
          <w:szCs w:val="24"/>
        </w:rPr>
        <w:t xml:space="preserve"> service hours would include additions for the new RapidRide </w:t>
      </w:r>
      <w:r w:rsidR="00E8619A">
        <w:rPr>
          <w:rFonts w:ascii="Arial" w:hAnsi="Arial" w:cs="Arial"/>
          <w:szCs w:val="24"/>
        </w:rPr>
        <w:t>G</w:t>
      </w:r>
      <w:r w:rsidR="00404302">
        <w:rPr>
          <w:rStyle w:val="FootnoteReference"/>
          <w:rFonts w:ascii="Arial" w:hAnsi="Arial" w:cs="Arial"/>
          <w:szCs w:val="24"/>
        </w:rPr>
        <w:footnoteReference w:id="17"/>
      </w:r>
      <w:r w:rsidR="00E8619A">
        <w:rPr>
          <w:rFonts w:ascii="Arial" w:hAnsi="Arial" w:cs="Arial"/>
          <w:szCs w:val="24"/>
        </w:rPr>
        <w:t xml:space="preserve"> and </w:t>
      </w:r>
      <w:r w:rsidR="00981F5A">
        <w:rPr>
          <w:rFonts w:ascii="Arial" w:hAnsi="Arial" w:cs="Arial"/>
          <w:szCs w:val="24"/>
        </w:rPr>
        <w:t>H</w:t>
      </w:r>
      <w:r w:rsidR="00E8619A">
        <w:rPr>
          <w:rStyle w:val="FootnoteReference"/>
          <w:rFonts w:ascii="Arial" w:hAnsi="Arial" w:cs="Arial"/>
          <w:szCs w:val="24"/>
        </w:rPr>
        <w:footnoteReference w:id="18"/>
      </w:r>
      <w:r w:rsidR="00981F5A">
        <w:rPr>
          <w:rFonts w:ascii="Arial" w:hAnsi="Arial" w:cs="Arial"/>
          <w:szCs w:val="24"/>
        </w:rPr>
        <w:t xml:space="preserve"> </w:t>
      </w:r>
      <w:r w:rsidR="00E8619A">
        <w:rPr>
          <w:rFonts w:ascii="Arial" w:hAnsi="Arial" w:cs="Arial"/>
          <w:szCs w:val="24"/>
        </w:rPr>
        <w:t>l</w:t>
      </w:r>
      <w:r w:rsidR="00981F5A">
        <w:rPr>
          <w:rFonts w:ascii="Arial" w:hAnsi="Arial" w:cs="Arial"/>
          <w:szCs w:val="24"/>
        </w:rPr>
        <w:t>ine</w:t>
      </w:r>
      <w:r w:rsidR="00E8619A">
        <w:rPr>
          <w:rFonts w:ascii="Arial" w:hAnsi="Arial" w:cs="Arial"/>
          <w:szCs w:val="24"/>
        </w:rPr>
        <w:t>s</w:t>
      </w:r>
      <w:r w:rsidR="00981F5A">
        <w:rPr>
          <w:rFonts w:ascii="Arial" w:hAnsi="Arial" w:cs="Arial"/>
          <w:szCs w:val="24"/>
        </w:rPr>
        <w:t xml:space="preserve">, which </w:t>
      </w:r>
      <w:r w:rsidR="00E8619A">
        <w:rPr>
          <w:rFonts w:ascii="Arial" w:hAnsi="Arial" w:cs="Arial"/>
          <w:szCs w:val="24"/>
        </w:rPr>
        <w:t>are</w:t>
      </w:r>
      <w:r w:rsidR="00981F5A">
        <w:rPr>
          <w:rFonts w:ascii="Arial" w:hAnsi="Arial" w:cs="Arial"/>
          <w:szCs w:val="24"/>
        </w:rPr>
        <w:t xml:space="preserve"> </w:t>
      </w:r>
      <w:r w:rsidR="0049150D">
        <w:rPr>
          <w:rFonts w:ascii="Arial" w:hAnsi="Arial" w:cs="Arial"/>
          <w:szCs w:val="24"/>
        </w:rPr>
        <w:t>expected</w:t>
      </w:r>
      <w:r w:rsidR="00981F5A">
        <w:rPr>
          <w:rFonts w:ascii="Arial" w:hAnsi="Arial" w:cs="Arial"/>
          <w:szCs w:val="24"/>
        </w:rPr>
        <w:t xml:space="preserve"> to begin </w:t>
      </w:r>
      <w:r w:rsidR="00E8619A">
        <w:rPr>
          <w:rFonts w:ascii="Arial" w:hAnsi="Arial" w:cs="Arial"/>
          <w:szCs w:val="24"/>
        </w:rPr>
        <w:t>service during the biennium</w:t>
      </w:r>
      <w:r w:rsidR="00981F5A">
        <w:rPr>
          <w:rFonts w:ascii="Arial" w:hAnsi="Arial" w:cs="Arial"/>
          <w:szCs w:val="24"/>
        </w:rPr>
        <w:t xml:space="preserve">; </w:t>
      </w:r>
      <w:r w:rsidR="00B80B1A">
        <w:rPr>
          <w:rFonts w:ascii="Arial" w:hAnsi="Arial" w:cs="Arial"/>
          <w:szCs w:val="24"/>
        </w:rPr>
        <w:t>additional service funded by the Seattle transit funding measure and provided by Metro under contract;</w:t>
      </w:r>
      <w:r w:rsidR="00C74FB4">
        <w:rPr>
          <w:rStyle w:val="FootnoteReference"/>
          <w:rFonts w:ascii="Arial" w:hAnsi="Arial" w:cs="Arial"/>
          <w:szCs w:val="24"/>
        </w:rPr>
        <w:footnoteReference w:id="19"/>
      </w:r>
      <w:r w:rsidR="00B80B1A">
        <w:rPr>
          <w:rFonts w:ascii="Arial" w:hAnsi="Arial" w:cs="Arial"/>
          <w:szCs w:val="24"/>
        </w:rPr>
        <w:t xml:space="preserve"> </w:t>
      </w:r>
      <w:r w:rsidR="00D51A97">
        <w:rPr>
          <w:rFonts w:ascii="Arial" w:hAnsi="Arial" w:cs="Arial"/>
          <w:szCs w:val="24"/>
        </w:rPr>
        <w:t xml:space="preserve">and </w:t>
      </w:r>
      <w:r w:rsidR="00621FB9">
        <w:rPr>
          <w:rFonts w:ascii="Arial" w:hAnsi="Arial" w:cs="Arial"/>
          <w:szCs w:val="24"/>
        </w:rPr>
        <w:t xml:space="preserve">restoration of </w:t>
      </w:r>
      <w:r w:rsidR="004C1321">
        <w:rPr>
          <w:rFonts w:ascii="Arial" w:hAnsi="Arial" w:cs="Arial"/>
          <w:szCs w:val="24"/>
        </w:rPr>
        <w:t xml:space="preserve">some of the </w:t>
      </w:r>
      <w:r w:rsidR="00621FB9">
        <w:rPr>
          <w:rFonts w:ascii="Arial" w:hAnsi="Arial" w:cs="Arial"/>
          <w:szCs w:val="24"/>
        </w:rPr>
        <w:t>service that was suspended during the pandemic.</w:t>
      </w:r>
      <w:r w:rsidR="00D81F4B">
        <w:rPr>
          <w:rFonts w:ascii="Arial" w:hAnsi="Arial" w:cs="Arial"/>
          <w:szCs w:val="24"/>
        </w:rPr>
        <w:t xml:space="preserve"> Metro staff state that Metro will continue to </w:t>
      </w:r>
      <w:r w:rsidR="00A136F6">
        <w:rPr>
          <w:rFonts w:ascii="Arial" w:hAnsi="Arial" w:cs="Arial"/>
          <w:szCs w:val="24"/>
        </w:rPr>
        <w:t xml:space="preserve">evaluate ridership patterns and may propose permanent service </w:t>
      </w:r>
      <w:r w:rsidR="00B1778E">
        <w:rPr>
          <w:rFonts w:ascii="Arial" w:hAnsi="Arial" w:cs="Arial"/>
          <w:szCs w:val="24"/>
        </w:rPr>
        <w:t>reductions</w:t>
      </w:r>
      <w:r w:rsidR="00A136F6">
        <w:rPr>
          <w:rFonts w:ascii="Arial" w:hAnsi="Arial" w:cs="Arial"/>
          <w:szCs w:val="24"/>
        </w:rPr>
        <w:t xml:space="preserve"> or restructures </w:t>
      </w:r>
      <w:r w:rsidR="00A1502A">
        <w:rPr>
          <w:rFonts w:ascii="Arial" w:hAnsi="Arial" w:cs="Arial"/>
          <w:szCs w:val="24"/>
        </w:rPr>
        <w:t xml:space="preserve">during the biennium as post-pandemic travel patterns become </w:t>
      </w:r>
      <w:r w:rsidR="000E581B">
        <w:rPr>
          <w:rFonts w:ascii="Arial" w:hAnsi="Arial" w:cs="Arial"/>
          <w:szCs w:val="24"/>
        </w:rPr>
        <w:t>clearer</w:t>
      </w:r>
      <w:r w:rsidR="00A1502A">
        <w:rPr>
          <w:rFonts w:ascii="Arial" w:hAnsi="Arial" w:cs="Arial"/>
          <w:szCs w:val="24"/>
        </w:rPr>
        <w:t>.</w:t>
      </w:r>
    </w:p>
    <w:p w14:paraId="54FB4335" w14:textId="464E3067" w:rsidR="00D51A97" w:rsidRPr="00D51A97" w:rsidRDefault="00D51A97" w:rsidP="0003244A">
      <w:pPr>
        <w:spacing w:line="264" w:lineRule="auto"/>
        <w:contextualSpacing/>
        <w:jc w:val="both"/>
        <w:rPr>
          <w:rFonts w:ascii="Arial" w:hAnsi="Arial" w:cs="Arial"/>
          <w:szCs w:val="24"/>
          <w:highlight w:val="yellow"/>
        </w:rPr>
      </w:pPr>
    </w:p>
    <w:p w14:paraId="40A3CBB1" w14:textId="42B2B38F" w:rsidR="00D51A97" w:rsidRDefault="00D51A97" w:rsidP="0003244A">
      <w:pPr>
        <w:spacing w:line="264" w:lineRule="auto"/>
        <w:contextualSpacing/>
        <w:jc w:val="both"/>
        <w:rPr>
          <w:rFonts w:ascii="Arial" w:hAnsi="Arial" w:cs="Arial"/>
          <w:szCs w:val="24"/>
        </w:rPr>
      </w:pPr>
      <w:r w:rsidRPr="0040783E">
        <w:rPr>
          <w:rFonts w:ascii="Arial" w:hAnsi="Arial" w:cs="Arial"/>
          <w:szCs w:val="24"/>
        </w:rPr>
        <w:t xml:space="preserve">Table </w:t>
      </w:r>
      <w:r w:rsidR="0040783E" w:rsidRPr="0040783E">
        <w:rPr>
          <w:rFonts w:ascii="Arial" w:hAnsi="Arial" w:cs="Arial"/>
          <w:szCs w:val="24"/>
        </w:rPr>
        <w:t>3</w:t>
      </w:r>
      <w:r w:rsidRPr="0040783E">
        <w:rPr>
          <w:rFonts w:ascii="Arial" w:hAnsi="Arial" w:cs="Arial"/>
          <w:szCs w:val="24"/>
        </w:rPr>
        <w:t xml:space="preserve"> </w:t>
      </w:r>
      <w:r w:rsidR="0040783E" w:rsidRPr="0040783E">
        <w:rPr>
          <w:rFonts w:ascii="Arial" w:hAnsi="Arial" w:cs="Arial"/>
          <w:szCs w:val="24"/>
        </w:rPr>
        <w:t xml:space="preserve">summarizes </w:t>
      </w:r>
      <w:r w:rsidRPr="0040783E">
        <w:rPr>
          <w:rFonts w:ascii="Arial" w:hAnsi="Arial" w:cs="Arial"/>
          <w:szCs w:val="24"/>
        </w:rPr>
        <w:t xml:space="preserve">the anticipated service hour additions </w:t>
      </w:r>
      <w:r w:rsidR="0040783E" w:rsidRPr="0040783E">
        <w:rPr>
          <w:rFonts w:ascii="Arial" w:hAnsi="Arial" w:cs="Arial"/>
          <w:szCs w:val="24"/>
        </w:rPr>
        <w:t xml:space="preserve">(and reductions) </w:t>
      </w:r>
      <w:r w:rsidRPr="0040783E">
        <w:rPr>
          <w:rFonts w:ascii="Arial" w:hAnsi="Arial" w:cs="Arial"/>
          <w:szCs w:val="24"/>
        </w:rPr>
        <w:t>during the biennium, by funding source.</w:t>
      </w:r>
    </w:p>
    <w:p w14:paraId="4E245A6F" w14:textId="5C9F4665" w:rsidR="007101CC" w:rsidRDefault="007101CC" w:rsidP="0003244A">
      <w:pPr>
        <w:spacing w:line="264" w:lineRule="auto"/>
        <w:contextualSpacing/>
        <w:jc w:val="both"/>
        <w:rPr>
          <w:rFonts w:ascii="Arial" w:hAnsi="Arial" w:cs="Arial"/>
          <w:szCs w:val="24"/>
        </w:rPr>
      </w:pPr>
    </w:p>
    <w:p w14:paraId="1AF030F9" w14:textId="65C7D26D" w:rsidR="00FE5701" w:rsidRPr="00BF00D7" w:rsidRDefault="00FE5701" w:rsidP="00FE5701">
      <w:pPr>
        <w:keepNext/>
        <w:spacing w:after="120" w:line="264" w:lineRule="auto"/>
        <w:jc w:val="center"/>
        <w:rPr>
          <w:rFonts w:ascii="Arial" w:hAnsi="Arial" w:cs="Arial"/>
          <w:b/>
          <w:szCs w:val="24"/>
        </w:rPr>
      </w:pPr>
      <w:r w:rsidRPr="00BF00D7">
        <w:rPr>
          <w:rFonts w:ascii="Arial" w:hAnsi="Arial" w:cs="Arial"/>
          <w:b/>
          <w:szCs w:val="24"/>
        </w:rPr>
        <w:t xml:space="preserve">Table </w:t>
      </w:r>
      <w:r>
        <w:rPr>
          <w:rFonts w:ascii="Arial" w:hAnsi="Arial" w:cs="Arial"/>
          <w:b/>
          <w:szCs w:val="24"/>
        </w:rPr>
        <w:t>3</w:t>
      </w:r>
      <w:r w:rsidRPr="00BF00D7">
        <w:rPr>
          <w:rFonts w:ascii="Arial" w:hAnsi="Arial" w:cs="Arial"/>
          <w:b/>
          <w:szCs w:val="24"/>
        </w:rPr>
        <w:t xml:space="preserve">. </w:t>
      </w:r>
      <w:r>
        <w:rPr>
          <w:rFonts w:ascii="Arial" w:hAnsi="Arial" w:cs="Arial"/>
          <w:b/>
          <w:szCs w:val="24"/>
        </w:rPr>
        <w:t>2023-2024 Proposed Service Plan by Funding Source</w:t>
      </w:r>
    </w:p>
    <w:tbl>
      <w:tblPr>
        <w:tblStyle w:val="ListTable3"/>
        <w:tblW w:w="0" w:type="auto"/>
        <w:jc w:val="center"/>
        <w:tblLook w:val="00A0" w:firstRow="1" w:lastRow="0" w:firstColumn="1" w:lastColumn="0" w:noHBand="0" w:noVBand="0"/>
      </w:tblPr>
      <w:tblGrid>
        <w:gridCol w:w="2988"/>
        <w:gridCol w:w="1317"/>
        <w:gridCol w:w="1318"/>
        <w:gridCol w:w="1317"/>
        <w:gridCol w:w="1318"/>
        <w:gridCol w:w="1318"/>
      </w:tblGrid>
      <w:tr w:rsidR="00FA161B" w:rsidRPr="003C3AEE" w14:paraId="17A79C72" w14:textId="1E180BD0" w:rsidTr="0060258F">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988" w:type="dxa"/>
            <w:tcBorders>
              <w:top w:val="nil"/>
              <w:left w:val="nil"/>
              <w:bottom w:val="single" w:sz="4" w:space="0" w:color="000000" w:themeColor="text1"/>
            </w:tcBorders>
            <w:shd w:val="clear" w:color="auto" w:fill="auto"/>
            <w:vAlign w:val="bottom"/>
          </w:tcPr>
          <w:p w14:paraId="0B938073" w14:textId="49C2FF9D" w:rsidR="00FA161B" w:rsidRPr="009D650E" w:rsidRDefault="00FA161B" w:rsidP="0060258F">
            <w:pPr>
              <w:spacing w:before="60" w:after="60"/>
              <w:rPr>
                <w:rFonts w:ascii="Arial" w:hAnsi="Arial" w:cs="Arial"/>
                <w:color w:val="auto"/>
                <w:sz w:val="20"/>
              </w:rPr>
            </w:pPr>
            <w:r>
              <w:rPr>
                <w:rFonts w:ascii="Arial" w:hAnsi="Arial" w:cs="Arial"/>
                <w:color w:val="auto"/>
                <w:sz w:val="20"/>
              </w:rPr>
              <w:t>Service Changes</w:t>
            </w:r>
          </w:p>
        </w:tc>
        <w:tc>
          <w:tcPr>
            <w:cnfStyle w:val="000010000000" w:firstRow="0" w:lastRow="0" w:firstColumn="0" w:lastColumn="0" w:oddVBand="1" w:evenVBand="0" w:oddHBand="0" w:evenHBand="0" w:firstRowFirstColumn="0" w:firstRowLastColumn="0" w:lastRowFirstColumn="0" w:lastRowLastColumn="0"/>
            <w:tcW w:w="1317" w:type="dxa"/>
            <w:tcBorders>
              <w:top w:val="nil"/>
              <w:bottom w:val="single" w:sz="4" w:space="0" w:color="000000" w:themeColor="text1"/>
            </w:tcBorders>
            <w:shd w:val="clear" w:color="auto" w:fill="auto"/>
            <w:vAlign w:val="bottom"/>
          </w:tcPr>
          <w:p w14:paraId="34B373E6" w14:textId="5E47F745" w:rsidR="00FA161B" w:rsidRPr="00D61B49" w:rsidRDefault="00FA161B" w:rsidP="0060258F">
            <w:pPr>
              <w:spacing w:before="60" w:after="60"/>
              <w:jc w:val="center"/>
              <w:rPr>
                <w:rFonts w:ascii="Arial" w:hAnsi="Arial" w:cs="Arial"/>
                <w:color w:val="auto"/>
                <w:sz w:val="20"/>
              </w:rPr>
            </w:pPr>
            <w:r>
              <w:rPr>
                <w:rFonts w:ascii="Arial" w:hAnsi="Arial" w:cs="Arial"/>
                <w:color w:val="auto"/>
                <w:sz w:val="20"/>
              </w:rPr>
              <w:t xml:space="preserve">Spring </w:t>
            </w:r>
            <w:r>
              <w:rPr>
                <w:rFonts w:ascii="Arial" w:hAnsi="Arial" w:cs="Arial"/>
                <w:color w:val="auto"/>
                <w:sz w:val="20"/>
              </w:rPr>
              <w:br/>
              <w:t>2023</w:t>
            </w:r>
          </w:p>
        </w:tc>
        <w:tc>
          <w:tcPr>
            <w:tcW w:w="1318" w:type="dxa"/>
            <w:tcBorders>
              <w:top w:val="nil"/>
              <w:bottom w:val="single" w:sz="4" w:space="0" w:color="000000" w:themeColor="text1"/>
            </w:tcBorders>
            <w:shd w:val="clear" w:color="auto" w:fill="auto"/>
            <w:vAlign w:val="bottom"/>
          </w:tcPr>
          <w:p w14:paraId="63721A44" w14:textId="09E60649" w:rsidR="00FA161B" w:rsidRPr="00D61B49" w:rsidRDefault="00FA161B" w:rsidP="0060258F">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Fall </w:t>
            </w:r>
            <w:r>
              <w:rPr>
                <w:rFonts w:ascii="Arial" w:hAnsi="Arial" w:cs="Arial"/>
                <w:color w:val="auto"/>
                <w:sz w:val="20"/>
              </w:rPr>
              <w:br/>
              <w:t>2023</w:t>
            </w:r>
          </w:p>
        </w:tc>
        <w:tc>
          <w:tcPr>
            <w:cnfStyle w:val="000010000000" w:firstRow="0" w:lastRow="0" w:firstColumn="0" w:lastColumn="0" w:oddVBand="1" w:evenVBand="0" w:oddHBand="0" w:evenHBand="0" w:firstRowFirstColumn="0" w:firstRowLastColumn="0" w:lastRowFirstColumn="0" w:lastRowLastColumn="0"/>
            <w:tcW w:w="1317" w:type="dxa"/>
            <w:tcBorders>
              <w:top w:val="nil"/>
              <w:bottom w:val="single" w:sz="4" w:space="0" w:color="000000" w:themeColor="text1"/>
              <w:right w:val="single" w:sz="4" w:space="0" w:color="auto"/>
            </w:tcBorders>
            <w:shd w:val="clear" w:color="auto" w:fill="auto"/>
            <w:vAlign w:val="bottom"/>
          </w:tcPr>
          <w:p w14:paraId="2B668922" w14:textId="588BC76E" w:rsidR="00FA161B" w:rsidRPr="00D61B49" w:rsidRDefault="00FA161B" w:rsidP="0060258F">
            <w:pPr>
              <w:spacing w:before="60" w:after="60"/>
              <w:jc w:val="center"/>
              <w:rPr>
                <w:rFonts w:ascii="Arial" w:hAnsi="Arial" w:cs="Arial"/>
                <w:color w:val="auto"/>
                <w:sz w:val="20"/>
              </w:rPr>
            </w:pPr>
            <w:r>
              <w:rPr>
                <w:rFonts w:ascii="Arial" w:hAnsi="Arial" w:cs="Arial"/>
                <w:color w:val="auto"/>
                <w:sz w:val="20"/>
              </w:rPr>
              <w:t xml:space="preserve">Spring </w:t>
            </w:r>
            <w:r>
              <w:rPr>
                <w:rFonts w:ascii="Arial" w:hAnsi="Arial" w:cs="Arial"/>
                <w:color w:val="auto"/>
                <w:sz w:val="20"/>
              </w:rPr>
              <w:br/>
              <w:t>2024</w:t>
            </w:r>
          </w:p>
        </w:tc>
        <w:tc>
          <w:tcPr>
            <w:tcW w:w="1318" w:type="dxa"/>
            <w:tcBorders>
              <w:top w:val="nil"/>
              <w:left w:val="single" w:sz="4" w:space="0" w:color="auto"/>
              <w:bottom w:val="single" w:sz="4" w:space="0" w:color="000000" w:themeColor="text1"/>
              <w:right w:val="nil"/>
            </w:tcBorders>
            <w:shd w:val="clear" w:color="auto" w:fill="auto"/>
            <w:vAlign w:val="bottom"/>
          </w:tcPr>
          <w:p w14:paraId="01B7B435" w14:textId="056EA78C" w:rsidR="00FA161B" w:rsidRPr="00FA161B" w:rsidRDefault="00FA161B" w:rsidP="0060258F">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Fall </w:t>
            </w:r>
            <w:r>
              <w:rPr>
                <w:rFonts w:ascii="Arial" w:hAnsi="Arial" w:cs="Arial"/>
                <w:color w:val="auto"/>
                <w:sz w:val="20"/>
              </w:rPr>
              <w:br/>
              <w:t>2024</w:t>
            </w:r>
          </w:p>
        </w:tc>
        <w:tc>
          <w:tcPr>
            <w:cnfStyle w:val="000010000000" w:firstRow="0" w:lastRow="0" w:firstColumn="0" w:lastColumn="0" w:oddVBand="1" w:evenVBand="0" w:oddHBand="0" w:evenHBand="0" w:firstRowFirstColumn="0" w:firstRowLastColumn="0" w:lastRowFirstColumn="0" w:lastRowLastColumn="0"/>
            <w:tcW w:w="1318" w:type="dxa"/>
            <w:tcBorders>
              <w:top w:val="nil"/>
              <w:bottom w:val="single" w:sz="4" w:space="0" w:color="000000" w:themeColor="text1"/>
              <w:right w:val="nil"/>
            </w:tcBorders>
            <w:shd w:val="clear" w:color="auto" w:fill="auto"/>
            <w:vAlign w:val="bottom"/>
          </w:tcPr>
          <w:p w14:paraId="1B89F57E" w14:textId="73DC1CC0" w:rsidR="00FA161B" w:rsidRPr="00FA161B" w:rsidRDefault="00FA161B" w:rsidP="0060258F">
            <w:pPr>
              <w:spacing w:before="60" w:after="60"/>
              <w:jc w:val="center"/>
              <w:rPr>
                <w:rFonts w:ascii="Arial" w:hAnsi="Arial" w:cs="Arial"/>
                <w:color w:val="auto"/>
                <w:sz w:val="20"/>
              </w:rPr>
            </w:pPr>
            <w:r>
              <w:rPr>
                <w:rFonts w:ascii="Arial" w:hAnsi="Arial" w:cs="Arial"/>
                <w:color w:val="auto"/>
                <w:sz w:val="20"/>
              </w:rPr>
              <w:t>TOTAL</w:t>
            </w:r>
          </w:p>
        </w:tc>
      </w:tr>
      <w:tr w:rsidR="00FA161B" w:rsidRPr="003C3AEE" w14:paraId="0D8702DF" w14:textId="77777777" w:rsidTr="00FA16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88" w:type="dxa"/>
            <w:tcBorders>
              <w:left w:val="nil"/>
            </w:tcBorders>
            <w:vAlign w:val="center"/>
          </w:tcPr>
          <w:p w14:paraId="57C0564A" w14:textId="024CCE3B" w:rsidR="00FA161B" w:rsidRDefault="00E3020A" w:rsidP="008F0CA2">
            <w:pPr>
              <w:spacing w:before="60" w:after="60"/>
              <w:rPr>
                <w:rFonts w:ascii="Arial" w:hAnsi="Arial" w:cs="Arial"/>
                <w:b w:val="0"/>
                <w:sz w:val="20"/>
              </w:rPr>
            </w:pPr>
            <w:r>
              <w:rPr>
                <w:rFonts w:ascii="Arial" w:hAnsi="Arial" w:cs="Arial"/>
                <w:b w:val="0"/>
                <w:sz w:val="20"/>
              </w:rPr>
              <w:t>Service Guidelines</w:t>
            </w:r>
          </w:p>
        </w:tc>
        <w:tc>
          <w:tcPr>
            <w:cnfStyle w:val="000010000000" w:firstRow="0" w:lastRow="0" w:firstColumn="0" w:lastColumn="0" w:oddVBand="1" w:evenVBand="0" w:oddHBand="0" w:evenHBand="0" w:firstRowFirstColumn="0" w:firstRowLastColumn="0" w:lastRowFirstColumn="0" w:lastRowLastColumn="0"/>
            <w:tcW w:w="1317" w:type="dxa"/>
            <w:vAlign w:val="center"/>
          </w:tcPr>
          <w:p w14:paraId="08BB4714" w14:textId="77777777" w:rsidR="00FA161B" w:rsidRPr="006343EC" w:rsidRDefault="00FA161B" w:rsidP="008F0CA2">
            <w:pPr>
              <w:spacing w:before="60" w:after="60"/>
              <w:jc w:val="center"/>
              <w:rPr>
                <w:rFonts w:ascii="Arial" w:hAnsi="Arial" w:cs="Arial"/>
                <w:sz w:val="20"/>
              </w:rPr>
            </w:pPr>
          </w:p>
        </w:tc>
        <w:tc>
          <w:tcPr>
            <w:tcW w:w="1318" w:type="dxa"/>
            <w:vAlign w:val="center"/>
          </w:tcPr>
          <w:p w14:paraId="13A276DA" w14:textId="77777777" w:rsidR="00FA161B" w:rsidRPr="006343EC" w:rsidRDefault="00FA161B" w:rsidP="008F0CA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1317" w:type="dxa"/>
            <w:tcBorders>
              <w:right w:val="single" w:sz="4" w:space="0" w:color="auto"/>
            </w:tcBorders>
            <w:vAlign w:val="center"/>
          </w:tcPr>
          <w:p w14:paraId="5AB63F98" w14:textId="77777777" w:rsidR="00FA161B" w:rsidRPr="006343EC" w:rsidRDefault="00FA161B" w:rsidP="008F0CA2">
            <w:pPr>
              <w:spacing w:before="60" w:after="60"/>
              <w:jc w:val="center"/>
              <w:rPr>
                <w:rFonts w:ascii="Arial" w:hAnsi="Arial" w:cs="Arial"/>
                <w:sz w:val="20"/>
              </w:rPr>
            </w:pPr>
          </w:p>
        </w:tc>
        <w:tc>
          <w:tcPr>
            <w:tcW w:w="1318" w:type="dxa"/>
            <w:tcBorders>
              <w:left w:val="single" w:sz="4" w:space="0" w:color="auto"/>
              <w:right w:val="nil"/>
            </w:tcBorders>
          </w:tcPr>
          <w:p w14:paraId="1CB27F1D" w14:textId="77777777" w:rsidR="00FA161B" w:rsidRDefault="00FA161B" w:rsidP="008F0CA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1318" w:type="dxa"/>
            <w:tcBorders>
              <w:right w:val="nil"/>
            </w:tcBorders>
          </w:tcPr>
          <w:p w14:paraId="06C34DA9" w14:textId="77777777" w:rsidR="00FA161B" w:rsidRPr="00CD6DE5" w:rsidRDefault="00FA161B" w:rsidP="008F0CA2">
            <w:pPr>
              <w:spacing w:before="60" w:after="60"/>
              <w:jc w:val="center"/>
              <w:rPr>
                <w:rFonts w:ascii="Arial" w:hAnsi="Arial" w:cs="Arial"/>
                <w:b/>
                <w:bCs/>
                <w:sz w:val="20"/>
              </w:rPr>
            </w:pPr>
          </w:p>
        </w:tc>
      </w:tr>
      <w:tr w:rsidR="00FA161B" w:rsidRPr="003C3AEE" w14:paraId="470742C5" w14:textId="77777777" w:rsidTr="00FA161B">
        <w:trPr>
          <w:jc w:val="center"/>
        </w:trPr>
        <w:tc>
          <w:tcPr>
            <w:cnfStyle w:val="001000000000" w:firstRow="0" w:lastRow="0" w:firstColumn="1" w:lastColumn="0" w:oddVBand="0" w:evenVBand="0" w:oddHBand="0" w:evenHBand="0" w:firstRowFirstColumn="0" w:firstRowLastColumn="0" w:lastRowFirstColumn="0" w:lastRowLastColumn="0"/>
            <w:tcW w:w="2988" w:type="dxa"/>
            <w:tcBorders>
              <w:left w:val="nil"/>
            </w:tcBorders>
            <w:vAlign w:val="center"/>
          </w:tcPr>
          <w:p w14:paraId="41F591F4" w14:textId="570D08EA" w:rsidR="00FA161B" w:rsidRDefault="00E3020A" w:rsidP="008F0CA2">
            <w:pPr>
              <w:spacing w:before="60" w:after="60"/>
              <w:rPr>
                <w:rFonts w:ascii="Arial" w:hAnsi="Arial" w:cs="Arial"/>
                <w:b w:val="0"/>
                <w:sz w:val="20"/>
              </w:rPr>
            </w:pPr>
            <w:r>
              <w:rPr>
                <w:rFonts w:ascii="Arial" w:hAnsi="Arial" w:cs="Arial"/>
                <w:b w:val="0"/>
                <w:sz w:val="20"/>
              </w:rPr>
              <w:t>Service Recovery</w:t>
            </w:r>
          </w:p>
        </w:tc>
        <w:tc>
          <w:tcPr>
            <w:cnfStyle w:val="000010000000" w:firstRow="0" w:lastRow="0" w:firstColumn="0" w:lastColumn="0" w:oddVBand="1" w:evenVBand="0" w:oddHBand="0" w:evenHBand="0" w:firstRowFirstColumn="0" w:firstRowLastColumn="0" w:lastRowFirstColumn="0" w:lastRowLastColumn="0"/>
            <w:tcW w:w="1317" w:type="dxa"/>
            <w:vAlign w:val="center"/>
          </w:tcPr>
          <w:p w14:paraId="04ED214D" w14:textId="77777777" w:rsidR="00FA161B" w:rsidRPr="006343EC" w:rsidRDefault="00FA161B" w:rsidP="008F0CA2">
            <w:pPr>
              <w:spacing w:before="60" w:after="60"/>
              <w:jc w:val="center"/>
              <w:rPr>
                <w:rFonts w:ascii="Arial" w:hAnsi="Arial" w:cs="Arial"/>
                <w:sz w:val="20"/>
              </w:rPr>
            </w:pPr>
          </w:p>
        </w:tc>
        <w:tc>
          <w:tcPr>
            <w:tcW w:w="1318" w:type="dxa"/>
            <w:vAlign w:val="center"/>
          </w:tcPr>
          <w:p w14:paraId="18232A6B" w14:textId="74996A9C" w:rsidR="00FA161B" w:rsidRPr="006343EC" w:rsidRDefault="00470EBE" w:rsidP="008F0CA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66,000</w:t>
            </w:r>
          </w:p>
        </w:tc>
        <w:tc>
          <w:tcPr>
            <w:cnfStyle w:val="000010000000" w:firstRow="0" w:lastRow="0" w:firstColumn="0" w:lastColumn="0" w:oddVBand="1" w:evenVBand="0" w:oddHBand="0" w:evenHBand="0" w:firstRowFirstColumn="0" w:firstRowLastColumn="0" w:lastRowFirstColumn="0" w:lastRowLastColumn="0"/>
            <w:tcW w:w="1317" w:type="dxa"/>
            <w:tcBorders>
              <w:right w:val="single" w:sz="4" w:space="0" w:color="auto"/>
            </w:tcBorders>
            <w:vAlign w:val="center"/>
          </w:tcPr>
          <w:p w14:paraId="181EFB21" w14:textId="6BED2703" w:rsidR="00FA161B" w:rsidRPr="006343EC" w:rsidRDefault="00470EBE" w:rsidP="008F0CA2">
            <w:pPr>
              <w:spacing w:before="60" w:after="60"/>
              <w:jc w:val="center"/>
              <w:rPr>
                <w:rFonts w:ascii="Arial" w:hAnsi="Arial" w:cs="Arial"/>
                <w:sz w:val="20"/>
              </w:rPr>
            </w:pPr>
            <w:r>
              <w:rPr>
                <w:rFonts w:ascii="Arial" w:hAnsi="Arial" w:cs="Arial"/>
                <w:sz w:val="20"/>
              </w:rPr>
              <w:t>37,200</w:t>
            </w:r>
          </w:p>
        </w:tc>
        <w:tc>
          <w:tcPr>
            <w:tcW w:w="1318" w:type="dxa"/>
            <w:tcBorders>
              <w:left w:val="single" w:sz="4" w:space="0" w:color="auto"/>
              <w:right w:val="nil"/>
            </w:tcBorders>
          </w:tcPr>
          <w:p w14:paraId="7794D390" w14:textId="5390FC92" w:rsidR="00FA161B" w:rsidRDefault="00470EBE" w:rsidP="008F0CA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48,000</w:t>
            </w:r>
          </w:p>
        </w:tc>
        <w:tc>
          <w:tcPr>
            <w:cnfStyle w:val="000010000000" w:firstRow="0" w:lastRow="0" w:firstColumn="0" w:lastColumn="0" w:oddVBand="1" w:evenVBand="0" w:oddHBand="0" w:evenHBand="0" w:firstRowFirstColumn="0" w:firstRowLastColumn="0" w:lastRowFirstColumn="0" w:lastRowLastColumn="0"/>
            <w:tcW w:w="1318" w:type="dxa"/>
            <w:tcBorders>
              <w:right w:val="nil"/>
            </w:tcBorders>
          </w:tcPr>
          <w:p w14:paraId="23852C75" w14:textId="60EF0145" w:rsidR="00FA161B" w:rsidRPr="00CD6DE5" w:rsidRDefault="00470EBE" w:rsidP="008F0CA2">
            <w:pPr>
              <w:spacing w:before="60" w:after="60"/>
              <w:jc w:val="center"/>
              <w:rPr>
                <w:rFonts w:ascii="Arial" w:hAnsi="Arial" w:cs="Arial"/>
                <w:b/>
                <w:bCs/>
                <w:sz w:val="20"/>
              </w:rPr>
            </w:pPr>
            <w:r>
              <w:rPr>
                <w:rFonts w:ascii="Arial" w:hAnsi="Arial" w:cs="Arial"/>
                <w:b/>
                <w:bCs/>
                <w:sz w:val="20"/>
              </w:rPr>
              <w:t>151,200</w:t>
            </w:r>
          </w:p>
        </w:tc>
      </w:tr>
      <w:tr w:rsidR="00FA161B" w:rsidRPr="003C3AEE" w14:paraId="27716CD9" w14:textId="77777777" w:rsidTr="00FA16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88" w:type="dxa"/>
            <w:tcBorders>
              <w:left w:val="nil"/>
            </w:tcBorders>
            <w:vAlign w:val="center"/>
          </w:tcPr>
          <w:p w14:paraId="057CD2B7" w14:textId="1E58D311" w:rsidR="00FA161B" w:rsidRDefault="00E3020A" w:rsidP="008F0CA2">
            <w:pPr>
              <w:spacing w:before="60" w:after="60"/>
              <w:rPr>
                <w:rFonts w:ascii="Arial" w:hAnsi="Arial" w:cs="Arial"/>
                <w:b w:val="0"/>
                <w:sz w:val="20"/>
              </w:rPr>
            </w:pPr>
            <w:r>
              <w:rPr>
                <w:rFonts w:ascii="Arial" w:hAnsi="Arial" w:cs="Arial"/>
                <w:b w:val="0"/>
                <w:sz w:val="20"/>
              </w:rPr>
              <w:t>Run-time impacts</w:t>
            </w:r>
          </w:p>
        </w:tc>
        <w:tc>
          <w:tcPr>
            <w:cnfStyle w:val="000010000000" w:firstRow="0" w:lastRow="0" w:firstColumn="0" w:lastColumn="0" w:oddVBand="1" w:evenVBand="0" w:oddHBand="0" w:evenHBand="0" w:firstRowFirstColumn="0" w:firstRowLastColumn="0" w:lastRowFirstColumn="0" w:lastRowLastColumn="0"/>
            <w:tcW w:w="1317" w:type="dxa"/>
            <w:vAlign w:val="center"/>
          </w:tcPr>
          <w:p w14:paraId="20AC738D" w14:textId="77777777" w:rsidR="00FA161B" w:rsidRPr="006343EC" w:rsidRDefault="00FA161B" w:rsidP="008F0CA2">
            <w:pPr>
              <w:spacing w:before="60" w:after="60"/>
              <w:jc w:val="center"/>
              <w:rPr>
                <w:rFonts w:ascii="Arial" w:hAnsi="Arial" w:cs="Arial"/>
                <w:sz w:val="20"/>
              </w:rPr>
            </w:pPr>
          </w:p>
        </w:tc>
        <w:tc>
          <w:tcPr>
            <w:tcW w:w="1318" w:type="dxa"/>
            <w:vAlign w:val="center"/>
          </w:tcPr>
          <w:p w14:paraId="12D99D20" w14:textId="24245A66" w:rsidR="00FA161B" w:rsidRPr="006343EC" w:rsidRDefault="00470EBE" w:rsidP="008F0CA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20,000</w:t>
            </w:r>
          </w:p>
        </w:tc>
        <w:tc>
          <w:tcPr>
            <w:cnfStyle w:val="000010000000" w:firstRow="0" w:lastRow="0" w:firstColumn="0" w:lastColumn="0" w:oddVBand="1" w:evenVBand="0" w:oddHBand="0" w:evenHBand="0" w:firstRowFirstColumn="0" w:firstRowLastColumn="0" w:lastRowFirstColumn="0" w:lastRowLastColumn="0"/>
            <w:tcW w:w="1317" w:type="dxa"/>
            <w:tcBorders>
              <w:right w:val="single" w:sz="4" w:space="0" w:color="auto"/>
            </w:tcBorders>
            <w:vAlign w:val="center"/>
          </w:tcPr>
          <w:p w14:paraId="416D913E" w14:textId="77777777" w:rsidR="00FA161B" w:rsidRPr="006343EC" w:rsidRDefault="00FA161B" w:rsidP="008F0CA2">
            <w:pPr>
              <w:spacing w:before="60" w:after="60"/>
              <w:jc w:val="center"/>
              <w:rPr>
                <w:rFonts w:ascii="Arial" w:hAnsi="Arial" w:cs="Arial"/>
                <w:sz w:val="20"/>
              </w:rPr>
            </w:pPr>
          </w:p>
        </w:tc>
        <w:tc>
          <w:tcPr>
            <w:tcW w:w="1318" w:type="dxa"/>
            <w:tcBorders>
              <w:left w:val="single" w:sz="4" w:space="0" w:color="auto"/>
              <w:right w:val="nil"/>
            </w:tcBorders>
          </w:tcPr>
          <w:p w14:paraId="2369CF57" w14:textId="77777777" w:rsidR="00FA161B" w:rsidRDefault="00FA161B" w:rsidP="008F0CA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1318" w:type="dxa"/>
            <w:tcBorders>
              <w:right w:val="nil"/>
            </w:tcBorders>
          </w:tcPr>
          <w:p w14:paraId="2D4411F3" w14:textId="4FC5B9BA" w:rsidR="00FA161B" w:rsidRPr="00CD6DE5" w:rsidRDefault="00470EBE" w:rsidP="008F0CA2">
            <w:pPr>
              <w:spacing w:before="60" w:after="60"/>
              <w:jc w:val="center"/>
              <w:rPr>
                <w:rFonts w:ascii="Arial" w:hAnsi="Arial" w:cs="Arial"/>
                <w:b/>
                <w:bCs/>
                <w:sz w:val="20"/>
              </w:rPr>
            </w:pPr>
            <w:r>
              <w:rPr>
                <w:rFonts w:ascii="Arial" w:hAnsi="Arial" w:cs="Arial"/>
                <w:b/>
                <w:bCs/>
                <w:sz w:val="20"/>
              </w:rPr>
              <w:t>20,000</w:t>
            </w:r>
          </w:p>
        </w:tc>
      </w:tr>
      <w:tr w:rsidR="00FA161B" w:rsidRPr="003C3AEE" w14:paraId="135CBC8C" w14:textId="77777777" w:rsidTr="00FA161B">
        <w:trPr>
          <w:jc w:val="center"/>
        </w:trPr>
        <w:tc>
          <w:tcPr>
            <w:cnfStyle w:val="001000000000" w:firstRow="0" w:lastRow="0" w:firstColumn="1" w:lastColumn="0" w:oddVBand="0" w:evenVBand="0" w:oddHBand="0" w:evenHBand="0" w:firstRowFirstColumn="0" w:firstRowLastColumn="0" w:lastRowFirstColumn="0" w:lastRowLastColumn="0"/>
            <w:tcW w:w="2988" w:type="dxa"/>
            <w:tcBorders>
              <w:left w:val="nil"/>
            </w:tcBorders>
            <w:vAlign w:val="center"/>
          </w:tcPr>
          <w:p w14:paraId="0166A18E" w14:textId="4D097023" w:rsidR="00FA161B" w:rsidRDefault="00E3020A" w:rsidP="008F0CA2">
            <w:pPr>
              <w:spacing w:before="60" w:after="60"/>
              <w:rPr>
                <w:rFonts w:ascii="Arial" w:hAnsi="Arial" w:cs="Arial"/>
                <w:b w:val="0"/>
                <w:sz w:val="20"/>
              </w:rPr>
            </w:pPr>
            <w:r>
              <w:rPr>
                <w:rFonts w:ascii="Arial" w:hAnsi="Arial" w:cs="Arial"/>
                <w:b w:val="0"/>
                <w:sz w:val="20"/>
              </w:rPr>
              <w:t>RapidRide</w:t>
            </w:r>
          </w:p>
        </w:tc>
        <w:tc>
          <w:tcPr>
            <w:cnfStyle w:val="000010000000" w:firstRow="0" w:lastRow="0" w:firstColumn="0" w:lastColumn="0" w:oddVBand="1" w:evenVBand="0" w:oddHBand="0" w:evenHBand="0" w:firstRowFirstColumn="0" w:firstRowLastColumn="0" w:lastRowFirstColumn="0" w:lastRowLastColumn="0"/>
            <w:tcW w:w="1317" w:type="dxa"/>
            <w:vAlign w:val="center"/>
          </w:tcPr>
          <w:p w14:paraId="59508147" w14:textId="1ACC20A4" w:rsidR="00FA161B" w:rsidRPr="006343EC" w:rsidRDefault="00CD6DE5" w:rsidP="008F0CA2">
            <w:pPr>
              <w:spacing w:before="60" w:after="60"/>
              <w:jc w:val="center"/>
              <w:rPr>
                <w:rFonts w:ascii="Arial" w:hAnsi="Arial" w:cs="Arial"/>
                <w:sz w:val="20"/>
              </w:rPr>
            </w:pPr>
            <w:r>
              <w:rPr>
                <w:rFonts w:ascii="Arial" w:hAnsi="Arial" w:cs="Arial"/>
                <w:sz w:val="20"/>
              </w:rPr>
              <w:t>4,000</w:t>
            </w:r>
          </w:p>
        </w:tc>
        <w:tc>
          <w:tcPr>
            <w:tcW w:w="1318" w:type="dxa"/>
            <w:vAlign w:val="center"/>
          </w:tcPr>
          <w:p w14:paraId="007C5F95" w14:textId="240CF418" w:rsidR="00FA161B" w:rsidRPr="006343EC" w:rsidRDefault="00CD6DE5" w:rsidP="008F0CA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0</w:t>
            </w:r>
          </w:p>
        </w:tc>
        <w:tc>
          <w:tcPr>
            <w:cnfStyle w:val="000010000000" w:firstRow="0" w:lastRow="0" w:firstColumn="0" w:lastColumn="0" w:oddVBand="1" w:evenVBand="0" w:oddHBand="0" w:evenHBand="0" w:firstRowFirstColumn="0" w:firstRowLastColumn="0" w:lastRowFirstColumn="0" w:lastRowLastColumn="0"/>
            <w:tcW w:w="1317" w:type="dxa"/>
            <w:tcBorders>
              <w:right w:val="single" w:sz="4" w:space="0" w:color="auto"/>
            </w:tcBorders>
            <w:vAlign w:val="center"/>
          </w:tcPr>
          <w:p w14:paraId="3E6B8D74" w14:textId="1FFCFF42" w:rsidR="00FA161B" w:rsidRPr="006343EC" w:rsidRDefault="00CD6DE5" w:rsidP="008F0CA2">
            <w:pPr>
              <w:spacing w:before="60" w:after="60"/>
              <w:jc w:val="center"/>
              <w:rPr>
                <w:rFonts w:ascii="Arial" w:hAnsi="Arial" w:cs="Arial"/>
                <w:sz w:val="20"/>
              </w:rPr>
            </w:pPr>
            <w:r>
              <w:rPr>
                <w:rFonts w:ascii="Arial" w:hAnsi="Arial" w:cs="Arial"/>
                <w:sz w:val="20"/>
              </w:rPr>
              <w:t>0</w:t>
            </w:r>
          </w:p>
        </w:tc>
        <w:tc>
          <w:tcPr>
            <w:tcW w:w="1318" w:type="dxa"/>
            <w:tcBorders>
              <w:left w:val="single" w:sz="4" w:space="0" w:color="auto"/>
              <w:right w:val="nil"/>
            </w:tcBorders>
          </w:tcPr>
          <w:p w14:paraId="3F1E6911" w14:textId="7D4F46F5" w:rsidR="00FA161B" w:rsidRDefault="00CD6DE5" w:rsidP="008F0CA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26,000</w:t>
            </w:r>
          </w:p>
        </w:tc>
        <w:tc>
          <w:tcPr>
            <w:cnfStyle w:val="000010000000" w:firstRow="0" w:lastRow="0" w:firstColumn="0" w:lastColumn="0" w:oddVBand="1" w:evenVBand="0" w:oddHBand="0" w:evenHBand="0" w:firstRowFirstColumn="0" w:firstRowLastColumn="0" w:lastRowFirstColumn="0" w:lastRowLastColumn="0"/>
            <w:tcW w:w="1318" w:type="dxa"/>
            <w:tcBorders>
              <w:right w:val="nil"/>
            </w:tcBorders>
          </w:tcPr>
          <w:p w14:paraId="0CB192E3" w14:textId="67114F6F" w:rsidR="00FA161B" w:rsidRPr="00CD6DE5" w:rsidRDefault="00CD6DE5" w:rsidP="008F0CA2">
            <w:pPr>
              <w:spacing w:before="60" w:after="60"/>
              <w:jc w:val="center"/>
              <w:rPr>
                <w:rFonts w:ascii="Arial" w:hAnsi="Arial" w:cs="Arial"/>
                <w:b/>
                <w:bCs/>
                <w:sz w:val="20"/>
              </w:rPr>
            </w:pPr>
            <w:r w:rsidRPr="00CD6DE5">
              <w:rPr>
                <w:rFonts w:ascii="Arial" w:hAnsi="Arial" w:cs="Arial"/>
                <w:b/>
                <w:bCs/>
                <w:sz w:val="20"/>
              </w:rPr>
              <w:t>30,000</w:t>
            </w:r>
          </w:p>
        </w:tc>
      </w:tr>
      <w:tr w:rsidR="00FA161B" w:rsidRPr="003C3AEE" w14:paraId="13522C86" w14:textId="77777777" w:rsidTr="00FA16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88" w:type="dxa"/>
            <w:tcBorders>
              <w:left w:val="nil"/>
            </w:tcBorders>
            <w:vAlign w:val="center"/>
          </w:tcPr>
          <w:p w14:paraId="4C058AAC" w14:textId="454E500E" w:rsidR="00FA161B" w:rsidRDefault="00CD6DE5" w:rsidP="008F0CA2">
            <w:pPr>
              <w:spacing w:before="60" w:after="60"/>
              <w:rPr>
                <w:rFonts w:ascii="Arial" w:hAnsi="Arial" w:cs="Arial"/>
                <w:b w:val="0"/>
                <w:sz w:val="20"/>
              </w:rPr>
            </w:pPr>
            <w:r>
              <w:rPr>
                <w:rFonts w:ascii="Arial" w:hAnsi="Arial" w:cs="Arial"/>
                <w:b w:val="0"/>
                <w:sz w:val="20"/>
              </w:rPr>
              <w:t>Fixed route DART conversion</w:t>
            </w:r>
          </w:p>
        </w:tc>
        <w:tc>
          <w:tcPr>
            <w:cnfStyle w:val="000010000000" w:firstRow="0" w:lastRow="0" w:firstColumn="0" w:lastColumn="0" w:oddVBand="1" w:evenVBand="0" w:oddHBand="0" w:evenHBand="0" w:firstRowFirstColumn="0" w:firstRowLastColumn="0" w:lastRowFirstColumn="0" w:lastRowLastColumn="0"/>
            <w:tcW w:w="1317" w:type="dxa"/>
            <w:vAlign w:val="center"/>
          </w:tcPr>
          <w:p w14:paraId="0BA5BD9B" w14:textId="77777777" w:rsidR="00FA161B" w:rsidRPr="006343EC" w:rsidRDefault="00FA161B" w:rsidP="008F0CA2">
            <w:pPr>
              <w:spacing w:before="60" w:after="60"/>
              <w:jc w:val="center"/>
              <w:rPr>
                <w:rFonts w:ascii="Arial" w:hAnsi="Arial" w:cs="Arial"/>
                <w:sz w:val="20"/>
              </w:rPr>
            </w:pPr>
          </w:p>
        </w:tc>
        <w:tc>
          <w:tcPr>
            <w:tcW w:w="1318" w:type="dxa"/>
            <w:vAlign w:val="center"/>
          </w:tcPr>
          <w:p w14:paraId="7067A3F8" w14:textId="625C21BF" w:rsidR="00FA161B" w:rsidRPr="006343EC" w:rsidRDefault="009723C0" w:rsidP="008F0CA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(4,200)</w:t>
            </w:r>
          </w:p>
        </w:tc>
        <w:tc>
          <w:tcPr>
            <w:cnfStyle w:val="000010000000" w:firstRow="0" w:lastRow="0" w:firstColumn="0" w:lastColumn="0" w:oddVBand="1" w:evenVBand="0" w:oddHBand="0" w:evenHBand="0" w:firstRowFirstColumn="0" w:firstRowLastColumn="0" w:lastRowFirstColumn="0" w:lastRowLastColumn="0"/>
            <w:tcW w:w="1317" w:type="dxa"/>
            <w:tcBorders>
              <w:right w:val="single" w:sz="4" w:space="0" w:color="auto"/>
            </w:tcBorders>
            <w:vAlign w:val="center"/>
          </w:tcPr>
          <w:p w14:paraId="530A57EE" w14:textId="7049BA7E" w:rsidR="00FA161B" w:rsidRPr="006343EC" w:rsidRDefault="009723C0" w:rsidP="008F0CA2">
            <w:pPr>
              <w:spacing w:before="60" w:after="60"/>
              <w:jc w:val="center"/>
              <w:rPr>
                <w:rFonts w:ascii="Arial" w:hAnsi="Arial" w:cs="Arial"/>
                <w:sz w:val="20"/>
              </w:rPr>
            </w:pPr>
            <w:r>
              <w:rPr>
                <w:rFonts w:ascii="Arial" w:hAnsi="Arial" w:cs="Arial"/>
                <w:sz w:val="20"/>
              </w:rPr>
              <w:t>(7,200)</w:t>
            </w:r>
          </w:p>
        </w:tc>
        <w:tc>
          <w:tcPr>
            <w:tcW w:w="1318" w:type="dxa"/>
            <w:tcBorders>
              <w:left w:val="single" w:sz="4" w:space="0" w:color="auto"/>
              <w:right w:val="nil"/>
            </w:tcBorders>
          </w:tcPr>
          <w:p w14:paraId="4EDC2299" w14:textId="77777777" w:rsidR="00FA161B" w:rsidRDefault="00FA161B" w:rsidP="008F0CA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1318" w:type="dxa"/>
            <w:tcBorders>
              <w:right w:val="nil"/>
            </w:tcBorders>
          </w:tcPr>
          <w:p w14:paraId="6E2818F4" w14:textId="551A6AC3" w:rsidR="00FA161B" w:rsidRPr="00CD6DE5" w:rsidRDefault="009723C0" w:rsidP="008F0CA2">
            <w:pPr>
              <w:spacing w:before="60" w:after="60"/>
              <w:jc w:val="center"/>
              <w:rPr>
                <w:rFonts w:ascii="Arial" w:hAnsi="Arial" w:cs="Arial"/>
                <w:b/>
                <w:bCs/>
                <w:sz w:val="20"/>
              </w:rPr>
            </w:pPr>
            <w:r>
              <w:rPr>
                <w:rFonts w:ascii="Arial" w:hAnsi="Arial" w:cs="Arial"/>
                <w:b/>
                <w:bCs/>
                <w:sz w:val="20"/>
              </w:rPr>
              <w:t>(11,400)</w:t>
            </w:r>
          </w:p>
        </w:tc>
      </w:tr>
      <w:tr w:rsidR="00FA161B" w:rsidRPr="003C3AEE" w14:paraId="6BDB3BC4" w14:textId="17E27144" w:rsidTr="00FA161B">
        <w:trPr>
          <w:jc w:val="center"/>
        </w:trPr>
        <w:tc>
          <w:tcPr>
            <w:cnfStyle w:val="001000000000" w:firstRow="0" w:lastRow="0" w:firstColumn="1" w:lastColumn="0" w:oddVBand="0" w:evenVBand="0" w:oddHBand="0" w:evenHBand="0" w:firstRowFirstColumn="0" w:firstRowLastColumn="0" w:lastRowFirstColumn="0" w:lastRowLastColumn="0"/>
            <w:tcW w:w="2988" w:type="dxa"/>
            <w:tcBorders>
              <w:left w:val="nil"/>
            </w:tcBorders>
            <w:shd w:val="clear" w:color="auto" w:fill="D9D9D9" w:themeFill="background1" w:themeFillShade="D9"/>
            <w:vAlign w:val="center"/>
          </w:tcPr>
          <w:p w14:paraId="142972A5" w14:textId="77777777" w:rsidR="00FA161B" w:rsidRPr="00FA161B" w:rsidRDefault="00FA161B" w:rsidP="008F0CA2">
            <w:pPr>
              <w:spacing w:before="60" w:after="60"/>
              <w:rPr>
                <w:rFonts w:ascii="Arial" w:hAnsi="Arial" w:cs="Arial"/>
                <w:bCs w:val="0"/>
                <w:sz w:val="20"/>
              </w:rPr>
            </w:pPr>
            <w:r w:rsidRPr="00FA161B">
              <w:rPr>
                <w:rFonts w:ascii="Arial" w:hAnsi="Arial" w:cs="Arial"/>
                <w:bCs w:val="0"/>
                <w:sz w:val="20"/>
              </w:rPr>
              <w:t>King County Metro funded</w:t>
            </w:r>
          </w:p>
        </w:tc>
        <w:tc>
          <w:tcPr>
            <w:cnfStyle w:val="000010000000" w:firstRow="0" w:lastRow="0" w:firstColumn="0" w:lastColumn="0" w:oddVBand="1" w:evenVBand="0" w:oddHBand="0" w:evenHBand="0" w:firstRowFirstColumn="0" w:firstRowLastColumn="0" w:lastRowFirstColumn="0" w:lastRowLastColumn="0"/>
            <w:tcW w:w="1317" w:type="dxa"/>
            <w:shd w:val="clear" w:color="auto" w:fill="D9D9D9" w:themeFill="background1" w:themeFillShade="D9"/>
            <w:vAlign w:val="center"/>
          </w:tcPr>
          <w:p w14:paraId="151FE462" w14:textId="6CB5C764" w:rsidR="00FA161B" w:rsidRPr="00FA161B" w:rsidRDefault="009723C0" w:rsidP="008F0CA2">
            <w:pPr>
              <w:spacing w:before="60" w:after="60"/>
              <w:jc w:val="center"/>
              <w:rPr>
                <w:rFonts w:ascii="Arial" w:hAnsi="Arial" w:cs="Arial"/>
                <w:b/>
                <w:sz w:val="20"/>
              </w:rPr>
            </w:pPr>
            <w:r>
              <w:rPr>
                <w:rFonts w:ascii="Arial" w:hAnsi="Arial" w:cs="Arial"/>
                <w:b/>
                <w:sz w:val="20"/>
              </w:rPr>
              <w:t>4,000</w:t>
            </w:r>
          </w:p>
        </w:tc>
        <w:tc>
          <w:tcPr>
            <w:tcW w:w="1318" w:type="dxa"/>
            <w:shd w:val="clear" w:color="auto" w:fill="D9D9D9" w:themeFill="background1" w:themeFillShade="D9"/>
            <w:vAlign w:val="center"/>
          </w:tcPr>
          <w:p w14:paraId="03893F2C" w14:textId="0992A322" w:rsidR="00FA161B" w:rsidRPr="00FA161B" w:rsidRDefault="009723C0" w:rsidP="008F0CA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81,800</w:t>
            </w:r>
          </w:p>
        </w:tc>
        <w:tc>
          <w:tcPr>
            <w:cnfStyle w:val="000010000000" w:firstRow="0" w:lastRow="0" w:firstColumn="0" w:lastColumn="0" w:oddVBand="1" w:evenVBand="0" w:oddHBand="0" w:evenHBand="0" w:firstRowFirstColumn="0" w:firstRowLastColumn="0" w:lastRowFirstColumn="0" w:lastRowLastColumn="0"/>
            <w:tcW w:w="1317" w:type="dxa"/>
            <w:tcBorders>
              <w:right w:val="single" w:sz="4" w:space="0" w:color="auto"/>
            </w:tcBorders>
            <w:shd w:val="clear" w:color="auto" w:fill="D9D9D9" w:themeFill="background1" w:themeFillShade="D9"/>
            <w:vAlign w:val="center"/>
          </w:tcPr>
          <w:p w14:paraId="43493DF8" w14:textId="4BAB4866" w:rsidR="00FA161B" w:rsidRPr="00FA161B" w:rsidRDefault="009723C0" w:rsidP="008F0CA2">
            <w:pPr>
              <w:spacing w:before="60" w:after="60"/>
              <w:jc w:val="center"/>
              <w:rPr>
                <w:rFonts w:ascii="Arial" w:hAnsi="Arial" w:cs="Arial"/>
                <w:b/>
                <w:sz w:val="20"/>
              </w:rPr>
            </w:pPr>
            <w:r>
              <w:rPr>
                <w:rFonts w:ascii="Arial" w:hAnsi="Arial" w:cs="Arial"/>
                <w:b/>
                <w:sz w:val="20"/>
              </w:rPr>
              <w:t>30,000</w:t>
            </w:r>
          </w:p>
        </w:tc>
        <w:tc>
          <w:tcPr>
            <w:tcW w:w="1318" w:type="dxa"/>
            <w:tcBorders>
              <w:left w:val="single" w:sz="4" w:space="0" w:color="auto"/>
              <w:right w:val="nil"/>
            </w:tcBorders>
            <w:shd w:val="clear" w:color="auto" w:fill="D9D9D9" w:themeFill="background1" w:themeFillShade="D9"/>
          </w:tcPr>
          <w:p w14:paraId="5EEEEFB7" w14:textId="6133B0AB" w:rsidR="00FA161B" w:rsidRPr="00FA161B" w:rsidRDefault="009723C0" w:rsidP="008F0CA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74,000</w:t>
            </w:r>
          </w:p>
        </w:tc>
        <w:tc>
          <w:tcPr>
            <w:cnfStyle w:val="000010000000" w:firstRow="0" w:lastRow="0" w:firstColumn="0" w:lastColumn="0" w:oddVBand="1" w:evenVBand="0" w:oddHBand="0" w:evenHBand="0" w:firstRowFirstColumn="0" w:firstRowLastColumn="0" w:lastRowFirstColumn="0" w:lastRowLastColumn="0"/>
            <w:tcW w:w="1318" w:type="dxa"/>
            <w:tcBorders>
              <w:right w:val="nil"/>
            </w:tcBorders>
            <w:shd w:val="clear" w:color="auto" w:fill="D9D9D9" w:themeFill="background1" w:themeFillShade="D9"/>
          </w:tcPr>
          <w:p w14:paraId="651FED6E" w14:textId="6DE4B6FB" w:rsidR="00FA161B" w:rsidRPr="00CD6DE5" w:rsidRDefault="009723C0" w:rsidP="008F0CA2">
            <w:pPr>
              <w:spacing w:before="60" w:after="60"/>
              <w:jc w:val="center"/>
              <w:rPr>
                <w:rFonts w:ascii="Arial" w:hAnsi="Arial" w:cs="Arial"/>
                <w:b/>
                <w:bCs/>
                <w:sz w:val="20"/>
              </w:rPr>
            </w:pPr>
            <w:r>
              <w:rPr>
                <w:rFonts w:ascii="Arial" w:hAnsi="Arial" w:cs="Arial"/>
                <w:b/>
                <w:bCs/>
                <w:sz w:val="20"/>
              </w:rPr>
              <w:t>189,800</w:t>
            </w:r>
          </w:p>
        </w:tc>
      </w:tr>
      <w:tr w:rsidR="00FA161B" w:rsidRPr="003C3AEE" w14:paraId="64CDD1D1" w14:textId="103B375D" w:rsidTr="00FA16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88" w:type="dxa"/>
            <w:tcBorders>
              <w:left w:val="nil"/>
            </w:tcBorders>
            <w:vAlign w:val="center"/>
          </w:tcPr>
          <w:p w14:paraId="5490C4E3" w14:textId="77777777" w:rsidR="00FA161B" w:rsidRPr="009D650E" w:rsidRDefault="00FA161B" w:rsidP="008F0CA2">
            <w:pPr>
              <w:spacing w:before="60" w:after="60"/>
              <w:rPr>
                <w:rFonts w:ascii="Arial" w:hAnsi="Arial" w:cs="Arial"/>
                <w:b w:val="0"/>
                <w:sz w:val="20"/>
              </w:rPr>
            </w:pPr>
            <w:r>
              <w:rPr>
                <w:rFonts w:ascii="Arial" w:hAnsi="Arial" w:cs="Arial"/>
                <w:b w:val="0"/>
                <w:sz w:val="20"/>
              </w:rPr>
              <w:t>City of Seattle funded</w:t>
            </w:r>
          </w:p>
        </w:tc>
        <w:tc>
          <w:tcPr>
            <w:cnfStyle w:val="000010000000" w:firstRow="0" w:lastRow="0" w:firstColumn="0" w:lastColumn="0" w:oddVBand="1" w:evenVBand="0" w:oddHBand="0" w:evenHBand="0" w:firstRowFirstColumn="0" w:firstRowLastColumn="0" w:lastRowFirstColumn="0" w:lastRowLastColumn="0"/>
            <w:tcW w:w="1317" w:type="dxa"/>
            <w:vAlign w:val="center"/>
          </w:tcPr>
          <w:p w14:paraId="50DE2DE0" w14:textId="0A04F60A" w:rsidR="00FA161B" w:rsidRPr="006343EC" w:rsidRDefault="00FA161B" w:rsidP="008F0CA2">
            <w:pPr>
              <w:spacing w:before="60" w:after="60"/>
              <w:jc w:val="center"/>
              <w:rPr>
                <w:rFonts w:ascii="Arial" w:hAnsi="Arial" w:cs="Arial"/>
                <w:sz w:val="20"/>
              </w:rPr>
            </w:pPr>
          </w:p>
        </w:tc>
        <w:tc>
          <w:tcPr>
            <w:tcW w:w="1318" w:type="dxa"/>
            <w:vAlign w:val="center"/>
          </w:tcPr>
          <w:p w14:paraId="7692DC6A" w14:textId="2C1A717B" w:rsidR="00FA161B" w:rsidRPr="006343EC" w:rsidRDefault="009723C0" w:rsidP="008F0CA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20,000</w:t>
            </w:r>
          </w:p>
        </w:tc>
        <w:tc>
          <w:tcPr>
            <w:cnfStyle w:val="000010000000" w:firstRow="0" w:lastRow="0" w:firstColumn="0" w:lastColumn="0" w:oddVBand="1" w:evenVBand="0" w:oddHBand="0" w:evenHBand="0" w:firstRowFirstColumn="0" w:firstRowLastColumn="0" w:lastRowFirstColumn="0" w:lastRowLastColumn="0"/>
            <w:tcW w:w="1317" w:type="dxa"/>
            <w:tcBorders>
              <w:right w:val="single" w:sz="4" w:space="0" w:color="auto"/>
            </w:tcBorders>
            <w:vAlign w:val="center"/>
          </w:tcPr>
          <w:p w14:paraId="7B1EB9E0" w14:textId="78B5AE4B" w:rsidR="00FA161B" w:rsidRPr="006343EC" w:rsidRDefault="009723C0" w:rsidP="008F0CA2">
            <w:pPr>
              <w:spacing w:before="60" w:after="60"/>
              <w:jc w:val="center"/>
              <w:rPr>
                <w:rFonts w:ascii="Arial" w:hAnsi="Arial" w:cs="Arial"/>
                <w:sz w:val="20"/>
              </w:rPr>
            </w:pPr>
            <w:r>
              <w:rPr>
                <w:rFonts w:ascii="Arial" w:hAnsi="Arial" w:cs="Arial"/>
                <w:sz w:val="20"/>
              </w:rPr>
              <w:t>20,000</w:t>
            </w:r>
          </w:p>
        </w:tc>
        <w:tc>
          <w:tcPr>
            <w:tcW w:w="1318" w:type="dxa"/>
            <w:tcBorders>
              <w:left w:val="single" w:sz="4" w:space="0" w:color="auto"/>
              <w:right w:val="nil"/>
            </w:tcBorders>
          </w:tcPr>
          <w:p w14:paraId="67AD0E41" w14:textId="3E5F752E" w:rsidR="00FA161B" w:rsidRDefault="009723C0" w:rsidP="008F0CA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30,000</w:t>
            </w:r>
          </w:p>
        </w:tc>
        <w:tc>
          <w:tcPr>
            <w:cnfStyle w:val="000010000000" w:firstRow="0" w:lastRow="0" w:firstColumn="0" w:lastColumn="0" w:oddVBand="1" w:evenVBand="0" w:oddHBand="0" w:evenHBand="0" w:firstRowFirstColumn="0" w:firstRowLastColumn="0" w:lastRowFirstColumn="0" w:lastRowLastColumn="0"/>
            <w:tcW w:w="1318" w:type="dxa"/>
            <w:tcBorders>
              <w:right w:val="nil"/>
            </w:tcBorders>
          </w:tcPr>
          <w:p w14:paraId="4AC7A6CD" w14:textId="26F776E8" w:rsidR="00FA161B" w:rsidRPr="00CD6DE5" w:rsidRDefault="009723C0" w:rsidP="008F0CA2">
            <w:pPr>
              <w:spacing w:before="60" w:after="60"/>
              <w:jc w:val="center"/>
              <w:rPr>
                <w:rFonts w:ascii="Arial" w:hAnsi="Arial" w:cs="Arial"/>
                <w:b/>
                <w:bCs/>
                <w:sz w:val="20"/>
              </w:rPr>
            </w:pPr>
            <w:r>
              <w:rPr>
                <w:rFonts w:ascii="Arial" w:hAnsi="Arial" w:cs="Arial"/>
                <w:b/>
                <w:bCs/>
                <w:sz w:val="20"/>
              </w:rPr>
              <w:t>70,000</w:t>
            </w:r>
          </w:p>
        </w:tc>
      </w:tr>
      <w:tr w:rsidR="00FA161B" w:rsidRPr="003C3AEE" w14:paraId="4CD5875B" w14:textId="4CEC6206" w:rsidTr="00FA161B">
        <w:trPr>
          <w:jc w:val="center"/>
        </w:trPr>
        <w:tc>
          <w:tcPr>
            <w:cnfStyle w:val="001000000000" w:firstRow="0" w:lastRow="0" w:firstColumn="1" w:lastColumn="0" w:oddVBand="0" w:evenVBand="0" w:oddHBand="0" w:evenHBand="0" w:firstRowFirstColumn="0" w:firstRowLastColumn="0" w:lastRowFirstColumn="0" w:lastRowLastColumn="0"/>
            <w:tcW w:w="2988" w:type="dxa"/>
            <w:tcBorders>
              <w:left w:val="nil"/>
            </w:tcBorders>
            <w:vAlign w:val="center"/>
          </w:tcPr>
          <w:p w14:paraId="46F71A1D" w14:textId="63FF08ED" w:rsidR="00FA161B" w:rsidRPr="009D650E" w:rsidRDefault="00FA161B" w:rsidP="008F0CA2">
            <w:pPr>
              <w:spacing w:before="60" w:after="60"/>
              <w:rPr>
                <w:rFonts w:ascii="Arial" w:hAnsi="Arial" w:cs="Arial"/>
                <w:b w:val="0"/>
                <w:sz w:val="20"/>
              </w:rPr>
            </w:pPr>
            <w:r>
              <w:rPr>
                <w:rFonts w:ascii="Arial" w:hAnsi="Arial" w:cs="Arial"/>
                <w:b w:val="0"/>
                <w:sz w:val="20"/>
              </w:rPr>
              <w:t>Sound Transit funded</w:t>
            </w:r>
            <w:r w:rsidR="00D37E06">
              <w:rPr>
                <w:rStyle w:val="FootnoteReference"/>
                <w:rFonts w:ascii="Arial" w:hAnsi="Arial" w:cs="Arial"/>
                <w:b w:val="0"/>
                <w:sz w:val="20"/>
              </w:rPr>
              <w:footnoteReference w:id="20"/>
            </w:r>
          </w:p>
        </w:tc>
        <w:tc>
          <w:tcPr>
            <w:cnfStyle w:val="000010000000" w:firstRow="0" w:lastRow="0" w:firstColumn="0" w:lastColumn="0" w:oddVBand="1" w:evenVBand="0" w:oddHBand="0" w:evenHBand="0" w:firstRowFirstColumn="0" w:firstRowLastColumn="0" w:lastRowFirstColumn="0" w:lastRowLastColumn="0"/>
            <w:tcW w:w="1317" w:type="dxa"/>
            <w:vAlign w:val="center"/>
          </w:tcPr>
          <w:p w14:paraId="10B1A68D" w14:textId="32F2FB96" w:rsidR="00FA161B" w:rsidRPr="006343EC" w:rsidRDefault="00FA161B" w:rsidP="008F0CA2">
            <w:pPr>
              <w:spacing w:before="60" w:after="60"/>
              <w:jc w:val="center"/>
              <w:rPr>
                <w:rFonts w:ascii="Arial" w:hAnsi="Arial" w:cs="Arial"/>
                <w:sz w:val="20"/>
              </w:rPr>
            </w:pPr>
          </w:p>
        </w:tc>
        <w:tc>
          <w:tcPr>
            <w:tcW w:w="1318" w:type="dxa"/>
            <w:vAlign w:val="center"/>
          </w:tcPr>
          <w:p w14:paraId="0A4F24CD" w14:textId="466257AB" w:rsidR="00FA161B" w:rsidRPr="006343EC" w:rsidRDefault="00D37E06" w:rsidP="008F0CA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(51,600)</w:t>
            </w:r>
          </w:p>
        </w:tc>
        <w:tc>
          <w:tcPr>
            <w:cnfStyle w:val="000010000000" w:firstRow="0" w:lastRow="0" w:firstColumn="0" w:lastColumn="0" w:oddVBand="1" w:evenVBand="0" w:oddHBand="0" w:evenHBand="0" w:firstRowFirstColumn="0" w:firstRowLastColumn="0" w:lastRowFirstColumn="0" w:lastRowLastColumn="0"/>
            <w:tcW w:w="1317" w:type="dxa"/>
            <w:tcBorders>
              <w:right w:val="single" w:sz="4" w:space="0" w:color="auto"/>
            </w:tcBorders>
            <w:vAlign w:val="center"/>
          </w:tcPr>
          <w:p w14:paraId="19437B15" w14:textId="7B5FA1BD" w:rsidR="00FA161B" w:rsidRPr="006343EC" w:rsidRDefault="00FA161B" w:rsidP="008F0CA2">
            <w:pPr>
              <w:spacing w:before="60" w:after="60"/>
              <w:jc w:val="center"/>
              <w:rPr>
                <w:rFonts w:ascii="Arial" w:hAnsi="Arial" w:cs="Arial"/>
                <w:sz w:val="20"/>
              </w:rPr>
            </w:pPr>
          </w:p>
        </w:tc>
        <w:tc>
          <w:tcPr>
            <w:tcW w:w="1318" w:type="dxa"/>
            <w:tcBorders>
              <w:left w:val="single" w:sz="4" w:space="0" w:color="auto"/>
              <w:right w:val="nil"/>
            </w:tcBorders>
          </w:tcPr>
          <w:p w14:paraId="0F1CD16A" w14:textId="106DEBE2" w:rsidR="00FA161B" w:rsidRDefault="00D37E06" w:rsidP="008F0CA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(16,800)</w:t>
            </w:r>
          </w:p>
        </w:tc>
        <w:tc>
          <w:tcPr>
            <w:cnfStyle w:val="000010000000" w:firstRow="0" w:lastRow="0" w:firstColumn="0" w:lastColumn="0" w:oddVBand="1" w:evenVBand="0" w:oddHBand="0" w:evenHBand="0" w:firstRowFirstColumn="0" w:firstRowLastColumn="0" w:lastRowFirstColumn="0" w:lastRowLastColumn="0"/>
            <w:tcW w:w="1318" w:type="dxa"/>
            <w:tcBorders>
              <w:right w:val="nil"/>
            </w:tcBorders>
          </w:tcPr>
          <w:p w14:paraId="23796077" w14:textId="72060822" w:rsidR="00FA161B" w:rsidRPr="00CD6DE5" w:rsidRDefault="00BA1210" w:rsidP="008F0CA2">
            <w:pPr>
              <w:spacing w:before="60" w:after="60"/>
              <w:jc w:val="center"/>
              <w:rPr>
                <w:rFonts w:ascii="Arial" w:hAnsi="Arial" w:cs="Arial"/>
                <w:b/>
                <w:bCs/>
                <w:sz w:val="20"/>
              </w:rPr>
            </w:pPr>
            <w:r>
              <w:rPr>
                <w:rFonts w:ascii="Arial" w:hAnsi="Arial" w:cs="Arial"/>
                <w:b/>
                <w:bCs/>
                <w:sz w:val="20"/>
              </w:rPr>
              <w:t>(68,400)</w:t>
            </w:r>
          </w:p>
        </w:tc>
      </w:tr>
      <w:tr w:rsidR="00D37E06" w:rsidRPr="003C3AEE" w14:paraId="3CBEDFF9" w14:textId="77777777" w:rsidTr="00BA12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88" w:type="dxa"/>
            <w:tcBorders>
              <w:left w:val="nil"/>
            </w:tcBorders>
            <w:shd w:val="clear" w:color="auto" w:fill="D9D9D9" w:themeFill="background1" w:themeFillShade="D9"/>
            <w:vAlign w:val="center"/>
          </w:tcPr>
          <w:p w14:paraId="17A7EC2D" w14:textId="57ADBFE9" w:rsidR="00D37E06" w:rsidRPr="00D61B49" w:rsidRDefault="00D37E06" w:rsidP="008F0CA2">
            <w:pPr>
              <w:spacing w:before="60" w:after="60"/>
              <w:rPr>
                <w:rFonts w:ascii="Arial" w:hAnsi="Arial" w:cs="Arial"/>
                <w:bCs w:val="0"/>
                <w:sz w:val="20"/>
              </w:rPr>
            </w:pPr>
            <w:r>
              <w:rPr>
                <w:rFonts w:ascii="Arial" w:hAnsi="Arial" w:cs="Arial"/>
                <w:bCs w:val="0"/>
                <w:sz w:val="20"/>
              </w:rPr>
              <w:t>Partner funded</w:t>
            </w:r>
          </w:p>
        </w:tc>
        <w:tc>
          <w:tcPr>
            <w:cnfStyle w:val="000010000000" w:firstRow="0" w:lastRow="0" w:firstColumn="0" w:lastColumn="0" w:oddVBand="1" w:evenVBand="0" w:oddHBand="0" w:evenHBand="0" w:firstRowFirstColumn="0" w:firstRowLastColumn="0" w:lastRowFirstColumn="0" w:lastRowLastColumn="0"/>
            <w:tcW w:w="1317" w:type="dxa"/>
            <w:shd w:val="clear" w:color="auto" w:fill="D9D9D9" w:themeFill="background1" w:themeFillShade="D9"/>
            <w:vAlign w:val="center"/>
          </w:tcPr>
          <w:p w14:paraId="201C3E16" w14:textId="177621EA" w:rsidR="00D37E06" w:rsidRPr="00C70E55" w:rsidRDefault="00BA1210" w:rsidP="008F0CA2">
            <w:pPr>
              <w:spacing w:before="60" w:after="60"/>
              <w:jc w:val="center"/>
              <w:rPr>
                <w:rFonts w:ascii="Arial" w:hAnsi="Arial" w:cs="Arial"/>
                <w:b/>
                <w:bCs/>
                <w:sz w:val="20"/>
              </w:rPr>
            </w:pPr>
            <w:r>
              <w:rPr>
                <w:rFonts w:ascii="Arial" w:hAnsi="Arial" w:cs="Arial"/>
                <w:b/>
                <w:bCs/>
                <w:sz w:val="20"/>
              </w:rPr>
              <w:t>0</w:t>
            </w:r>
          </w:p>
        </w:tc>
        <w:tc>
          <w:tcPr>
            <w:tcW w:w="1318" w:type="dxa"/>
            <w:shd w:val="clear" w:color="auto" w:fill="D9D9D9" w:themeFill="background1" w:themeFillShade="D9"/>
            <w:vAlign w:val="center"/>
          </w:tcPr>
          <w:p w14:paraId="76868D42" w14:textId="02BFF620" w:rsidR="00D37E06" w:rsidRPr="00C70E55" w:rsidRDefault="00BA1210" w:rsidP="008F0CA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Pr>
                <w:rFonts w:ascii="Arial" w:hAnsi="Arial" w:cs="Arial"/>
                <w:b/>
                <w:bCs/>
                <w:sz w:val="20"/>
              </w:rPr>
              <w:t>(31,600)</w:t>
            </w:r>
          </w:p>
        </w:tc>
        <w:tc>
          <w:tcPr>
            <w:cnfStyle w:val="000010000000" w:firstRow="0" w:lastRow="0" w:firstColumn="0" w:lastColumn="0" w:oddVBand="1" w:evenVBand="0" w:oddHBand="0" w:evenHBand="0" w:firstRowFirstColumn="0" w:firstRowLastColumn="0" w:lastRowFirstColumn="0" w:lastRowLastColumn="0"/>
            <w:tcW w:w="1317" w:type="dxa"/>
            <w:tcBorders>
              <w:right w:val="single" w:sz="4" w:space="0" w:color="auto"/>
            </w:tcBorders>
            <w:shd w:val="clear" w:color="auto" w:fill="D9D9D9" w:themeFill="background1" w:themeFillShade="D9"/>
            <w:vAlign w:val="center"/>
          </w:tcPr>
          <w:p w14:paraId="22E610D1" w14:textId="24A71979" w:rsidR="00D37E06" w:rsidRPr="00C70E55" w:rsidRDefault="00BA1210" w:rsidP="008F0CA2">
            <w:pPr>
              <w:spacing w:before="60" w:after="60"/>
              <w:jc w:val="center"/>
              <w:rPr>
                <w:rFonts w:ascii="Arial" w:hAnsi="Arial" w:cs="Arial"/>
                <w:b/>
                <w:bCs/>
                <w:sz w:val="20"/>
              </w:rPr>
            </w:pPr>
            <w:r>
              <w:rPr>
                <w:rFonts w:ascii="Arial" w:hAnsi="Arial" w:cs="Arial"/>
                <w:b/>
                <w:bCs/>
                <w:sz w:val="20"/>
              </w:rPr>
              <w:t>20,000</w:t>
            </w:r>
          </w:p>
        </w:tc>
        <w:tc>
          <w:tcPr>
            <w:tcW w:w="1318" w:type="dxa"/>
            <w:tcBorders>
              <w:left w:val="single" w:sz="4" w:space="0" w:color="auto"/>
              <w:right w:val="nil"/>
            </w:tcBorders>
            <w:shd w:val="clear" w:color="auto" w:fill="D9D9D9" w:themeFill="background1" w:themeFillShade="D9"/>
          </w:tcPr>
          <w:p w14:paraId="6F1FF4DE" w14:textId="498CD54C" w:rsidR="00D37E06" w:rsidRPr="00C70E55" w:rsidRDefault="00BA1210" w:rsidP="008F0CA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Pr>
                <w:rFonts w:ascii="Arial" w:hAnsi="Arial" w:cs="Arial"/>
                <w:b/>
                <w:bCs/>
                <w:sz w:val="20"/>
              </w:rPr>
              <w:t>13,200</w:t>
            </w:r>
          </w:p>
        </w:tc>
        <w:tc>
          <w:tcPr>
            <w:cnfStyle w:val="000010000000" w:firstRow="0" w:lastRow="0" w:firstColumn="0" w:lastColumn="0" w:oddVBand="1" w:evenVBand="0" w:oddHBand="0" w:evenHBand="0" w:firstRowFirstColumn="0" w:firstRowLastColumn="0" w:lastRowFirstColumn="0" w:lastRowLastColumn="0"/>
            <w:tcW w:w="1318" w:type="dxa"/>
            <w:tcBorders>
              <w:right w:val="nil"/>
            </w:tcBorders>
            <w:shd w:val="clear" w:color="auto" w:fill="D9D9D9" w:themeFill="background1" w:themeFillShade="D9"/>
          </w:tcPr>
          <w:p w14:paraId="3801EBC6" w14:textId="49284CCC" w:rsidR="00D37E06" w:rsidRPr="00CD6DE5" w:rsidRDefault="00BA1210" w:rsidP="008F0CA2">
            <w:pPr>
              <w:spacing w:before="60" w:after="60"/>
              <w:jc w:val="center"/>
              <w:rPr>
                <w:rFonts w:ascii="Arial" w:hAnsi="Arial" w:cs="Arial"/>
                <w:b/>
                <w:bCs/>
                <w:sz w:val="20"/>
              </w:rPr>
            </w:pPr>
            <w:r>
              <w:rPr>
                <w:rFonts w:ascii="Arial" w:hAnsi="Arial" w:cs="Arial"/>
                <w:b/>
                <w:bCs/>
                <w:sz w:val="20"/>
              </w:rPr>
              <w:t>1,600</w:t>
            </w:r>
          </w:p>
        </w:tc>
      </w:tr>
      <w:tr w:rsidR="00FA161B" w:rsidRPr="003C3AEE" w14:paraId="585A2D03" w14:textId="5FA1D723" w:rsidTr="00FA161B">
        <w:trPr>
          <w:jc w:val="center"/>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000000" w:themeColor="text1"/>
              <w:left w:val="nil"/>
              <w:bottom w:val="single" w:sz="4" w:space="0" w:color="000000" w:themeColor="text1"/>
            </w:tcBorders>
            <w:vAlign w:val="center"/>
          </w:tcPr>
          <w:p w14:paraId="36B686C6" w14:textId="77777777" w:rsidR="00FA161B" w:rsidRPr="00D61B49" w:rsidRDefault="00FA161B" w:rsidP="008F0CA2">
            <w:pPr>
              <w:spacing w:before="60" w:after="60"/>
              <w:rPr>
                <w:rFonts w:ascii="Arial" w:hAnsi="Arial" w:cs="Arial"/>
                <w:bCs w:val="0"/>
                <w:sz w:val="20"/>
              </w:rPr>
            </w:pPr>
            <w:r w:rsidRPr="00D61B49">
              <w:rPr>
                <w:rFonts w:ascii="Arial" w:hAnsi="Arial" w:cs="Arial"/>
                <w:bCs w:val="0"/>
                <w:sz w:val="20"/>
              </w:rPr>
              <w:t>Total Hours</w:t>
            </w:r>
          </w:p>
        </w:tc>
        <w:tc>
          <w:tcPr>
            <w:cnfStyle w:val="000010000000" w:firstRow="0" w:lastRow="0" w:firstColumn="0" w:lastColumn="0" w:oddVBand="1" w:evenVBand="0" w:oddHBand="0" w:evenHBand="0" w:firstRowFirstColumn="0" w:firstRowLastColumn="0" w:lastRowFirstColumn="0" w:lastRowLastColumn="0"/>
            <w:tcW w:w="1317" w:type="dxa"/>
            <w:tcBorders>
              <w:top w:val="single" w:sz="4" w:space="0" w:color="000000" w:themeColor="text1"/>
              <w:bottom w:val="single" w:sz="4" w:space="0" w:color="000000" w:themeColor="text1"/>
            </w:tcBorders>
            <w:vAlign w:val="center"/>
          </w:tcPr>
          <w:p w14:paraId="135D362B" w14:textId="68506C32" w:rsidR="00FA161B" w:rsidRPr="00C70E55" w:rsidRDefault="00BA1210" w:rsidP="008F0CA2">
            <w:pPr>
              <w:spacing w:before="60" w:after="60"/>
              <w:jc w:val="center"/>
              <w:rPr>
                <w:rFonts w:ascii="Arial" w:hAnsi="Arial" w:cs="Arial"/>
                <w:b/>
                <w:bCs/>
                <w:sz w:val="20"/>
              </w:rPr>
            </w:pPr>
            <w:r>
              <w:rPr>
                <w:rFonts w:ascii="Arial" w:hAnsi="Arial" w:cs="Arial"/>
                <w:b/>
                <w:bCs/>
                <w:sz w:val="20"/>
              </w:rPr>
              <w:t>4,000</w:t>
            </w:r>
          </w:p>
        </w:tc>
        <w:tc>
          <w:tcPr>
            <w:tcW w:w="1318" w:type="dxa"/>
            <w:tcBorders>
              <w:top w:val="single" w:sz="4" w:space="0" w:color="000000" w:themeColor="text1"/>
              <w:bottom w:val="single" w:sz="4" w:space="0" w:color="000000" w:themeColor="text1"/>
            </w:tcBorders>
            <w:vAlign w:val="center"/>
          </w:tcPr>
          <w:p w14:paraId="79F3DA19" w14:textId="4E45ACF8" w:rsidR="00FA161B" w:rsidRPr="00C70E55" w:rsidRDefault="006E404E" w:rsidP="008F0CA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cs="Arial"/>
                <w:b/>
                <w:bCs/>
                <w:sz w:val="20"/>
              </w:rPr>
              <w:t>50,200</w:t>
            </w:r>
          </w:p>
        </w:tc>
        <w:tc>
          <w:tcPr>
            <w:cnfStyle w:val="000010000000" w:firstRow="0" w:lastRow="0" w:firstColumn="0" w:lastColumn="0" w:oddVBand="1" w:evenVBand="0" w:oddHBand="0" w:evenHBand="0" w:firstRowFirstColumn="0" w:firstRowLastColumn="0" w:lastRowFirstColumn="0" w:lastRowLastColumn="0"/>
            <w:tcW w:w="1317" w:type="dxa"/>
            <w:tcBorders>
              <w:top w:val="single" w:sz="4" w:space="0" w:color="000000" w:themeColor="text1"/>
              <w:bottom w:val="single" w:sz="4" w:space="0" w:color="000000" w:themeColor="text1"/>
              <w:right w:val="single" w:sz="4" w:space="0" w:color="auto"/>
            </w:tcBorders>
            <w:vAlign w:val="center"/>
          </w:tcPr>
          <w:p w14:paraId="1B02E00E" w14:textId="48B12329" w:rsidR="00FA161B" w:rsidRPr="00C70E55" w:rsidRDefault="006E404E" w:rsidP="008F0CA2">
            <w:pPr>
              <w:spacing w:before="60" w:after="60"/>
              <w:jc w:val="center"/>
              <w:rPr>
                <w:rFonts w:ascii="Arial" w:hAnsi="Arial" w:cs="Arial"/>
                <w:b/>
                <w:bCs/>
                <w:sz w:val="20"/>
              </w:rPr>
            </w:pPr>
            <w:r>
              <w:rPr>
                <w:rFonts w:ascii="Arial" w:hAnsi="Arial" w:cs="Arial"/>
                <w:b/>
                <w:bCs/>
                <w:sz w:val="20"/>
              </w:rPr>
              <w:t>50,000</w:t>
            </w:r>
          </w:p>
        </w:tc>
        <w:tc>
          <w:tcPr>
            <w:tcW w:w="1318" w:type="dxa"/>
            <w:tcBorders>
              <w:top w:val="single" w:sz="4" w:space="0" w:color="000000" w:themeColor="text1"/>
              <w:left w:val="single" w:sz="4" w:space="0" w:color="auto"/>
              <w:bottom w:val="single" w:sz="4" w:space="0" w:color="000000" w:themeColor="text1"/>
              <w:right w:val="nil"/>
            </w:tcBorders>
          </w:tcPr>
          <w:p w14:paraId="279629BB" w14:textId="23016C3C" w:rsidR="00FA161B" w:rsidRPr="00C70E55" w:rsidRDefault="006E404E" w:rsidP="008F0CA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cs="Arial"/>
                <w:b/>
                <w:bCs/>
                <w:sz w:val="20"/>
              </w:rPr>
              <w:t>87,200</w:t>
            </w:r>
          </w:p>
        </w:tc>
        <w:tc>
          <w:tcPr>
            <w:cnfStyle w:val="000010000000" w:firstRow="0" w:lastRow="0" w:firstColumn="0" w:lastColumn="0" w:oddVBand="1" w:evenVBand="0" w:oddHBand="0" w:evenHBand="0" w:firstRowFirstColumn="0" w:firstRowLastColumn="0" w:lastRowFirstColumn="0" w:lastRowLastColumn="0"/>
            <w:tcW w:w="1318" w:type="dxa"/>
            <w:tcBorders>
              <w:top w:val="single" w:sz="4" w:space="0" w:color="000000" w:themeColor="text1"/>
              <w:bottom w:val="single" w:sz="4" w:space="0" w:color="000000" w:themeColor="text1"/>
              <w:right w:val="nil"/>
            </w:tcBorders>
          </w:tcPr>
          <w:p w14:paraId="5EC74084" w14:textId="313FA693" w:rsidR="00FA161B" w:rsidRPr="00CD6DE5" w:rsidRDefault="006E404E" w:rsidP="008F0CA2">
            <w:pPr>
              <w:spacing w:before="60" w:after="60"/>
              <w:jc w:val="center"/>
              <w:rPr>
                <w:rFonts w:ascii="Arial" w:hAnsi="Arial" w:cs="Arial"/>
                <w:b/>
                <w:bCs/>
                <w:sz w:val="20"/>
              </w:rPr>
            </w:pPr>
            <w:r>
              <w:rPr>
                <w:rFonts w:ascii="Arial" w:hAnsi="Arial" w:cs="Arial"/>
                <w:b/>
                <w:bCs/>
                <w:sz w:val="20"/>
              </w:rPr>
              <w:t>191,400</w:t>
            </w:r>
          </w:p>
        </w:tc>
      </w:tr>
    </w:tbl>
    <w:p w14:paraId="167DA136" w14:textId="77777777" w:rsidR="00FE5701" w:rsidRDefault="00FE5701" w:rsidP="00FE5701">
      <w:pPr>
        <w:spacing w:line="264" w:lineRule="auto"/>
        <w:contextualSpacing/>
        <w:jc w:val="both"/>
        <w:rPr>
          <w:rFonts w:ascii="Arial" w:hAnsi="Arial" w:cs="Arial"/>
          <w:szCs w:val="24"/>
          <w:highlight w:val="yellow"/>
        </w:rPr>
      </w:pPr>
    </w:p>
    <w:p w14:paraId="5C436B4A" w14:textId="36AE4B46" w:rsidR="0086564C" w:rsidRPr="0086564C" w:rsidRDefault="0003244A" w:rsidP="008A5CF4">
      <w:pPr>
        <w:spacing w:line="264" w:lineRule="auto"/>
        <w:contextualSpacing/>
        <w:jc w:val="both"/>
        <w:rPr>
          <w:rFonts w:ascii="Arial" w:hAnsi="Arial" w:cs="Arial"/>
          <w:szCs w:val="24"/>
        </w:rPr>
      </w:pPr>
      <w:r w:rsidRPr="009A624E">
        <w:rPr>
          <w:rFonts w:ascii="Arial" w:hAnsi="Arial" w:cs="Arial"/>
          <w:b/>
          <w:bCs/>
          <w:szCs w:val="24"/>
        </w:rPr>
        <w:t>Additions to flexible and contracted service</w:t>
      </w:r>
      <w:r w:rsidR="00C974FE">
        <w:rPr>
          <w:rFonts w:ascii="Arial" w:hAnsi="Arial" w:cs="Arial"/>
          <w:b/>
          <w:bCs/>
          <w:szCs w:val="24"/>
        </w:rPr>
        <w:t xml:space="preserve">. </w:t>
      </w:r>
      <w:r w:rsidR="00C974FE">
        <w:rPr>
          <w:rFonts w:ascii="Arial" w:hAnsi="Arial" w:cs="Arial"/>
          <w:szCs w:val="24"/>
        </w:rPr>
        <w:t xml:space="preserve">The proposed budget would add </w:t>
      </w:r>
      <w:r w:rsidR="009A624E">
        <w:rPr>
          <w:rFonts w:ascii="Arial" w:hAnsi="Arial" w:cs="Arial"/>
          <w:szCs w:val="24"/>
        </w:rPr>
        <w:t xml:space="preserve">$28 million to support increases in flexible and contracted service. </w:t>
      </w:r>
      <w:r w:rsidR="009A624E" w:rsidRPr="0086564C">
        <w:rPr>
          <w:rFonts w:ascii="Arial" w:hAnsi="Arial" w:cs="Arial"/>
          <w:szCs w:val="24"/>
        </w:rPr>
        <w:t xml:space="preserve">This </w:t>
      </w:r>
      <w:r w:rsidR="007E6A8E" w:rsidRPr="0086564C">
        <w:rPr>
          <w:rFonts w:ascii="Arial" w:hAnsi="Arial" w:cs="Arial"/>
          <w:szCs w:val="24"/>
        </w:rPr>
        <w:t>funding would support</w:t>
      </w:r>
      <w:r w:rsidR="0086564C">
        <w:rPr>
          <w:rFonts w:ascii="Arial" w:hAnsi="Arial" w:cs="Arial"/>
          <w:szCs w:val="24"/>
        </w:rPr>
        <w:t xml:space="preserve"> </w:t>
      </w:r>
      <w:r w:rsidR="007B0A7D">
        <w:rPr>
          <w:rFonts w:ascii="Arial" w:hAnsi="Arial" w:cs="Arial"/>
          <w:szCs w:val="24"/>
        </w:rPr>
        <w:t xml:space="preserve">approximately $12 million in resources </w:t>
      </w:r>
      <w:r w:rsidR="0000279C">
        <w:rPr>
          <w:rFonts w:ascii="Arial" w:hAnsi="Arial" w:cs="Arial"/>
          <w:szCs w:val="24"/>
        </w:rPr>
        <w:t>to cover</w:t>
      </w:r>
      <w:r w:rsidR="007B0A7D">
        <w:rPr>
          <w:rFonts w:ascii="Arial" w:hAnsi="Arial" w:cs="Arial"/>
          <w:szCs w:val="24"/>
        </w:rPr>
        <w:t xml:space="preserve"> the continued recovery of Access paratransit ridership, as well as increased contractor costs; </w:t>
      </w:r>
      <w:r w:rsidR="00647E36">
        <w:rPr>
          <w:rFonts w:ascii="Arial" w:hAnsi="Arial" w:cs="Arial"/>
          <w:szCs w:val="24"/>
        </w:rPr>
        <w:t xml:space="preserve">$1.1 million for Community Access Transit (CAT); $9.4 million </w:t>
      </w:r>
      <w:r w:rsidR="00372539">
        <w:rPr>
          <w:rFonts w:ascii="Arial" w:hAnsi="Arial" w:cs="Arial"/>
          <w:szCs w:val="24"/>
        </w:rPr>
        <w:t xml:space="preserve">to </w:t>
      </w:r>
      <w:r w:rsidR="006F4729">
        <w:rPr>
          <w:rFonts w:ascii="Arial" w:hAnsi="Arial" w:cs="Arial"/>
          <w:szCs w:val="24"/>
        </w:rPr>
        <w:t>transition three pilot DART services into permanent</w:t>
      </w:r>
      <w:r w:rsidR="00FE23EE">
        <w:rPr>
          <w:rFonts w:ascii="Arial" w:hAnsi="Arial" w:cs="Arial"/>
          <w:szCs w:val="24"/>
        </w:rPr>
        <w:t xml:space="preserve"> routes (Route 635 and two Trailhead Direct routes); </w:t>
      </w:r>
      <w:r w:rsidR="00372539">
        <w:rPr>
          <w:rFonts w:ascii="Arial" w:hAnsi="Arial" w:cs="Arial"/>
          <w:szCs w:val="24"/>
        </w:rPr>
        <w:t xml:space="preserve">$500,000 for Vanpool; and $5 million for flexible services to </w:t>
      </w:r>
      <w:r w:rsidR="00F12210">
        <w:rPr>
          <w:rFonts w:ascii="Arial" w:hAnsi="Arial" w:cs="Arial"/>
          <w:szCs w:val="24"/>
        </w:rPr>
        <w:t xml:space="preserve">sustain funding for </w:t>
      </w:r>
      <w:r w:rsidR="00985244">
        <w:rPr>
          <w:rFonts w:ascii="Arial" w:hAnsi="Arial" w:cs="Arial"/>
          <w:szCs w:val="24"/>
        </w:rPr>
        <w:t xml:space="preserve">existing </w:t>
      </w:r>
      <w:r w:rsidR="00F12210">
        <w:rPr>
          <w:rFonts w:ascii="Arial" w:hAnsi="Arial" w:cs="Arial"/>
          <w:szCs w:val="24"/>
        </w:rPr>
        <w:t xml:space="preserve">Via to Transit and Community Van programs and invest in expanded </w:t>
      </w:r>
      <w:r w:rsidR="00892982">
        <w:rPr>
          <w:rFonts w:ascii="Arial" w:hAnsi="Arial" w:cs="Arial"/>
          <w:szCs w:val="24"/>
        </w:rPr>
        <w:t xml:space="preserve">Community Van </w:t>
      </w:r>
      <w:r w:rsidR="00F12210">
        <w:rPr>
          <w:rFonts w:ascii="Arial" w:hAnsi="Arial" w:cs="Arial"/>
          <w:szCs w:val="24"/>
        </w:rPr>
        <w:t xml:space="preserve">service in </w:t>
      </w:r>
      <w:r w:rsidR="00D24713">
        <w:rPr>
          <w:rFonts w:ascii="Arial" w:hAnsi="Arial" w:cs="Arial"/>
          <w:szCs w:val="24"/>
        </w:rPr>
        <w:t xml:space="preserve">unincorporated and </w:t>
      </w:r>
      <w:r w:rsidR="00F12210">
        <w:rPr>
          <w:rFonts w:ascii="Arial" w:hAnsi="Arial" w:cs="Arial"/>
          <w:szCs w:val="24"/>
        </w:rPr>
        <w:t>rural</w:t>
      </w:r>
      <w:r w:rsidR="00D24713">
        <w:rPr>
          <w:rFonts w:ascii="Arial" w:hAnsi="Arial" w:cs="Arial"/>
          <w:szCs w:val="24"/>
        </w:rPr>
        <w:t xml:space="preserve"> communities.</w:t>
      </w:r>
    </w:p>
    <w:p w14:paraId="0CE73831" w14:textId="77777777" w:rsidR="0086564C" w:rsidRDefault="0086564C" w:rsidP="008A5CF4">
      <w:pPr>
        <w:spacing w:line="264" w:lineRule="auto"/>
        <w:contextualSpacing/>
        <w:jc w:val="both"/>
        <w:rPr>
          <w:rFonts w:ascii="Arial" w:hAnsi="Arial" w:cs="Arial"/>
          <w:szCs w:val="24"/>
          <w:highlight w:val="yellow"/>
        </w:rPr>
      </w:pPr>
    </w:p>
    <w:p w14:paraId="271292F8" w14:textId="2576DFD5" w:rsidR="00B91BD5" w:rsidRDefault="00076446" w:rsidP="008A5CF4">
      <w:pPr>
        <w:spacing w:line="264" w:lineRule="auto"/>
        <w:contextualSpacing/>
        <w:jc w:val="both"/>
        <w:rPr>
          <w:rFonts w:ascii="Arial" w:hAnsi="Arial" w:cs="Arial"/>
          <w:szCs w:val="24"/>
        </w:rPr>
      </w:pPr>
      <w:r w:rsidRPr="00910AC6">
        <w:rPr>
          <w:rFonts w:ascii="Arial" w:hAnsi="Arial" w:cs="Arial"/>
          <w:b/>
          <w:bCs/>
          <w:szCs w:val="24"/>
        </w:rPr>
        <w:t>Additions to water taxi service</w:t>
      </w:r>
      <w:r w:rsidR="000C1BC7">
        <w:rPr>
          <w:rFonts w:ascii="Arial" w:hAnsi="Arial" w:cs="Arial"/>
          <w:b/>
          <w:bCs/>
          <w:szCs w:val="24"/>
        </w:rPr>
        <w:t xml:space="preserve">. </w:t>
      </w:r>
      <w:r w:rsidR="00C758ED" w:rsidRPr="00C758ED">
        <w:rPr>
          <w:rFonts w:ascii="Arial" w:hAnsi="Arial" w:cs="Arial"/>
          <w:szCs w:val="24"/>
        </w:rPr>
        <w:t>Metro</w:t>
      </w:r>
      <w:r w:rsidR="00131473">
        <w:rPr>
          <w:rFonts w:ascii="Arial" w:hAnsi="Arial" w:cs="Arial"/>
          <w:szCs w:val="24"/>
        </w:rPr>
        <w:t>’s</w:t>
      </w:r>
      <w:r w:rsidR="00C758ED" w:rsidRPr="00C758ED">
        <w:rPr>
          <w:rFonts w:ascii="Arial" w:hAnsi="Arial" w:cs="Arial"/>
          <w:szCs w:val="24"/>
        </w:rPr>
        <w:t xml:space="preserve"> </w:t>
      </w:r>
      <w:r w:rsidR="00C93406">
        <w:rPr>
          <w:rFonts w:ascii="Arial" w:hAnsi="Arial" w:cs="Arial"/>
          <w:szCs w:val="24"/>
        </w:rPr>
        <w:t xml:space="preserve">West Seattle water taxi route </w:t>
      </w:r>
      <w:r w:rsidR="000458C6">
        <w:rPr>
          <w:rFonts w:ascii="Arial" w:hAnsi="Arial" w:cs="Arial"/>
          <w:szCs w:val="24"/>
        </w:rPr>
        <w:t xml:space="preserve">traditionally provided more service during the summer months, with service </w:t>
      </w:r>
      <w:r w:rsidR="00910AC6">
        <w:rPr>
          <w:rFonts w:ascii="Arial" w:hAnsi="Arial" w:cs="Arial"/>
          <w:szCs w:val="24"/>
        </w:rPr>
        <w:t xml:space="preserve">reduced during the winter. During the closure of the West Seattle Bridge, </w:t>
      </w:r>
      <w:r w:rsidR="001D3961">
        <w:rPr>
          <w:rFonts w:ascii="Arial" w:hAnsi="Arial" w:cs="Arial"/>
          <w:szCs w:val="24"/>
        </w:rPr>
        <w:t xml:space="preserve">however, </w:t>
      </w:r>
      <w:r w:rsidR="00910AC6">
        <w:rPr>
          <w:rFonts w:ascii="Arial" w:hAnsi="Arial" w:cs="Arial"/>
          <w:szCs w:val="24"/>
        </w:rPr>
        <w:t xml:space="preserve">the City of Seattle purchased additional, year-round service to offer West Seattle residents an additional commuting option. </w:t>
      </w:r>
      <w:r w:rsidR="00B91BD5">
        <w:rPr>
          <w:rFonts w:ascii="Arial" w:hAnsi="Arial" w:cs="Arial"/>
          <w:szCs w:val="24"/>
        </w:rPr>
        <w:t xml:space="preserve">With the West Seattle Bridge now reopened, the City of Seattle will no longer be funding </w:t>
      </w:r>
      <w:r w:rsidR="00D86FA3">
        <w:rPr>
          <w:rFonts w:ascii="Arial" w:hAnsi="Arial" w:cs="Arial"/>
          <w:szCs w:val="24"/>
        </w:rPr>
        <w:t xml:space="preserve">this </w:t>
      </w:r>
      <w:r w:rsidR="00B91BD5">
        <w:rPr>
          <w:rFonts w:ascii="Arial" w:hAnsi="Arial" w:cs="Arial"/>
          <w:szCs w:val="24"/>
        </w:rPr>
        <w:t>additional water taxi service.</w:t>
      </w:r>
    </w:p>
    <w:p w14:paraId="4B6544DA" w14:textId="070F4780" w:rsidR="00B91BD5" w:rsidRDefault="00B91BD5" w:rsidP="008A5CF4">
      <w:pPr>
        <w:spacing w:line="264" w:lineRule="auto"/>
        <w:contextualSpacing/>
        <w:jc w:val="both"/>
        <w:rPr>
          <w:rFonts w:ascii="Arial" w:hAnsi="Arial" w:cs="Arial"/>
          <w:szCs w:val="24"/>
        </w:rPr>
      </w:pPr>
    </w:p>
    <w:p w14:paraId="7036A6FB" w14:textId="6D7B684C" w:rsidR="00B91BD5" w:rsidRPr="00C758ED" w:rsidRDefault="00D24713" w:rsidP="008A5CF4">
      <w:pPr>
        <w:spacing w:line="264" w:lineRule="auto"/>
        <w:contextualSpacing/>
        <w:jc w:val="both"/>
        <w:rPr>
          <w:rFonts w:ascii="Arial" w:hAnsi="Arial" w:cs="Arial"/>
          <w:szCs w:val="24"/>
        </w:rPr>
      </w:pPr>
      <w:r>
        <w:rPr>
          <w:rFonts w:ascii="Arial" w:hAnsi="Arial" w:cs="Arial"/>
          <w:szCs w:val="24"/>
        </w:rPr>
        <w:t>T</w:t>
      </w:r>
      <w:r w:rsidR="00B91BD5">
        <w:rPr>
          <w:rFonts w:ascii="Arial" w:hAnsi="Arial" w:cs="Arial"/>
          <w:szCs w:val="24"/>
        </w:rPr>
        <w:t>he 2023-2024 budget</w:t>
      </w:r>
      <w:r>
        <w:rPr>
          <w:rFonts w:ascii="Arial" w:hAnsi="Arial" w:cs="Arial"/>
          <w:szCs w:val="24"/>
        </w:rPr>
        <w:t xml:space="preserve"> </w:t>
      </w:r>
      <w:r w:rsidR="00DF548E">
        <w:rPr>
          <w:rFonts w:ascii="Arial" w:hAnsi="Arial" w:cs="Arial"/>
          <w:szCs w:val="24"/>
        </w:rPr>
        <w:t xml:space="preserve">proposes $2.1 million, which would be supported by </w:t>
      </w:r>
      <w:r w:rsidR="00B06369">
        <w:rPr>
          <w:rFonts w:ascii="Arial" w:hAnsi="Arial" w:cs="Arial"/>
          <w:szCs w:val="24"/>
        </w:rPr>
        <w:t xml:space="preserve">Marine fund balance from </w:t>
      </w:r>
      <w:r w:rsidR="00DF548E">
        <w:rPr>
          <w:rFonts w:ascii="Arial" w:hAnsi="Arial" w:cs="Arial"/>
          <w:szCs w:val="24"/>
        </w:rPr>
        <w:t xml:space="preserve">the dedicated passenger ferry property tax, to </w:t>
      </w:r>
      <w:r>
        <w:rPr>
          <w:rFonts w:ascii="Arial" w:hAnsi="Arial" w:cs="Arial"/>
          <w:szCs w:val="24"/>
        </w:rPr>
        <w:t xml:space="preserve">provide </w:t>
      </w:r>
      <w:r w:rsidR="00DF548E">
        <w:rPr>
          <w:rFonts w:ascii="Arial" w:hAnsi="Arial" w:cs="Arial"/>
          <w:szCs w:val="24"/>
        </w:rPr>
        <w:t xml:space="preserve">summer-level service </w:t>
      </w:r>
      <w:r>
        <w:rPr>
          <w:rFonts w:ascii="Arial" w:hAnsi="Arial" w:cs="Arial"/>
          <w:szCs w:val="24"/>
        </w:rPr>
        <w:t>year-round</w:t>
      </w:r>
      <w:r w:rsidR="00D86FA3">
        <w:rPr>
          <w:rFonts w:ascii="Arial" w:hAnsi="Arial" w:cs="Arial"/>
          <w:szCs w:val="24"/>
        </w:rPr>
        <w:t xml:space="preserve"> on the West Seattle water taxi</w:t>
      </w:r>
      <w:r w:rsidR="00B60512">
        <w:rPr>
          <w:rFonts w:ascii="Arial" w:hAnsi="Arial" w:cs="Arial"/>
          <w:szCs w:val="24"/>
        </w:rPr>
        <w:t xml:space="preserve">. Metro states that this proposal is to </w:t>
      </w:r>
      <w:r w:rsidR="00765773">
        <w:rPr>
          <w:rFonts w:ascii="Arial" w:hAnsi="Arial" w:cs="Arial"/>
          <w:szCs w:val="24"/>
        </w:rPr>
        <w:t xml:space="preserve">avoid the disruption of having to lay off and then rehire crew to accommodate seasonal </w:t>
      </w:r>
      <w:r w:rsidR="00765773" w:rsidRPr="00DF548E">
        <w:rPr>
          <w:rFonts w:ascii="Arial" w:hAnsi="Arial" w:cs="Arial"/>
          <w:szCs w:val="24"/>
        </w:rPr>
        <w:t>fluctuations</w:t>
      </w:r>
      <w:r w:rsidR="00165BF7" w:rsidRPr="00DF548E">
        <w:rPr>
          <w:rFonts w:ascii="Arial" w:hAnsi="Arial" w:cs="Arial"/>
          <w:szCs w:val="24"/>
        </w:rPr>
        <w:t>.</w:t>
      </w:r>
      <w:r w:rsidR="00165BF7">
        <w:rPr>
          <w:rFonts w:ascii="Arial" w:hAnsi="Arial" w:cs="Arial"/>
          <w:szCs w:val="24"/>
        </w:rPr>
        <w:t xml:space="preserve"> </w:t>
      </w:r>
      <w:r w:rsidR="00690819">
        <w:rPr>
          <w:rFonts w:ascii="Arial" w:hAnsi="Arial" w:cs="Arial"/>
          <w:szCs w:val="24"/>
        </w:rPr>
        <w:t>This higher level of service is being piloted during winter 2022-2023, and Metro will evaluate the results following the winter season.</w:t>
      </w:r>
    </w:p>
    <w:p w14:paraId="162E8E29" w14:textId="02D3510B" w:rsidR="00076446" w:rsidRPr="00C758ED" w:rsidRDefault="00076446" w:rsidP="008A5CF4">
      <w:pPr>
        <w:spacing w:line="264" w:lineRule="auto"/>
        <w:contextualSpacing/>
        <w:jc w:val="both"/>
        <w:rPr>
          <w:rFonts w:ascii="Arial" w:hAnsi="Arial" w:cs="Arial"/>
          <w:szCs w:val="24"/>
        </w:rPr>
      </w:pPr>
    </w:p>
    <w:p w14:paraId="1BDC7A38" w14:textId="2B4E3A1A" w:rsidR="00413965" w:rsidRDefault="00413965" w:rsidP="008A5CF4">
      <w:pPr>
        <w:spacing w:line="264" w:lineRule="auto"/>
        <w:contextualSpacing/>
        <w:jc w:val="both"/>
        <w:rPr>
          <w:rFonts w:ascii="Arial" w:hAnsi="Arial" w:cs="Arial"/>
          <w:szCs w:val="24"/>
        </w:rPr>
      </w:pPr>
      <w:r w:rsidRPr="00CE4F01">
        <w:rPr>
          <w:rFonts w:ascii="Arial" w:hAnsi="Arial" w:cs="Arial"/>
          <w:b/>
          <w:bCs/>
          <w:szCs w:val="24"/>
        </w:rPr>
        <w:t>Ridership recovery</w:t>
      </w:r>
      <w:r w:rsidR="00165BF7">
        <w:rPr>
          <w:rFonts w:ascii="Arial" w:hAnsi="Arial" w:cs="Arial"/>
          <w:b/>
          <w:bCs/>
          <w:szCs w:val="24"/>
        </w:rPr>
        <w:t xml:space="preserve">. </w:t>
      </w:r>
      <w:r w:rsidR="00AB45E4" w:rsidRPr="00AB45E4">
        <w:rPr>
          <w:rFonts w:ascii="Arial" w:hAnsi="Arial" w:cs="Arial"/>
          <w:szCs w:val="24"/>
        </w:rPr>
        <w:t xml:space="preserve">Transit ridership fell sharply during the early months of the pandemic, </w:t>
      </w:r>
      <w:r w:rsidR="00AB45E4">
        <w:rPr>
          <w:rFonts w:ascii="Arial" w:hAnsi="Arial" w:cs="Arial"/>
          <w:szCs w:val="24"/>
        </w:rPr>
        <w:t xml:space="preserve">reaching a low of </w:t>
      </w:r>
      <w:r w:rsidR="00D928C0">
        <w:rPr>
          <w:rFonts w:ascii="Arial" w:hAnsi="Arial" w:cs="Arial"/>
          <w:szCs w:val="24"/>
        </w:rPr>
        <w:t xml:space="preserve">25 percent of pre-pandemic ridership in April 2020. Although ridership has </w:t>
      </w:r>
      <w:r w:rsidR="00554110">
        <w:rPr>
          <w:rFonts w:ascii="Arial" w:hAnsi="Arial" w:cs="Arial"/>
          <w:szCs w:val="24"/>
        </w:rPr>
        <w:t xml:space="preserve">increased </w:t>
      </w:r>
      <w:r w:rsidR="00D928C0">
        <w:rPr>
          <w:rFonts w:ascii="Arial" w:hAnsi="Arial" w:cs="Arial"/>
          <w:szCs w:val="24"/>
        </w:rPr>
        <w:t xml:space="preserve">steadily </w:t>
      </w:r>
      <w:r w:rsidR="002C6AB0">
        <w:rPr>
          <w:rFonts w:ascii="Arial" w:hAnsi="Arial" w:cs="Arial"/>
          <w:szCs w:val="24"/>
        </w:rPr>
        <w:t xml:space="preserve">since then, reaching more than 200,000 average weekday boardings by August 2022, it is still </w:t>
      </w:r>
      <w:r w:rsidR="00210F21">
        <w:rPr>
          <w:rFonts w:ascii="Arial" w:hAnsi="Arial" w:cs="Arial"/>
          <w:szCs w:val="24"/>
        </w:rPr>
        <w:t xml:space="preserve">less than half </w:t>
      </w:r>
      <w:r w:rsidR="00F61295">
        <w:rPr>
          <w:rFonts w:ascii="Arial" w:hAnsi="Arial" w:cs="Arial"/>
          <w:szCs w:val="24"/>
        </w:rPr>
        <w:t xml:space="preserve">the pre-pandemic total. </w:t>
      </w:r>
      <w:r w:rsidR="0024149F">
        <w:rPr>
          <w:rFonts w:ascii="Arial" w:hAnsi="Arial" w:cs="Arial"/>
          <w:szCs w:val="24"/>
        </w:rPr>
        <w:t xml:space="preserve">The proposed budget includes </w:t>
      </w:r>
      <w:r w:rsidR="000A0057">
        <w:rPr>
          <w:rFonts w:ascii="Arial" w:hAnsi="Arial" w:cs="Arial"/>
          <w:szCs w:val="24"/>
        </w:rPr>
        <w:t xml:space="preserve">a range of </w:t>
      </w:r>
      <w:r w:rsidR="0024149F">
        <w:rPr>
          <w:rFonts w:ascii="Arial" w:hAnsi="Arial" w:cs="Arial"/>
          <w:szCs w:val="24"/>
        </w:rPr>
        <w:t xml:space="preserve">initiatives to </w:t>
      </w:r>
      <w:r w:rsidR="00AA4A98">
        <w:rPr>
          <w:rFonts w:ascii="Arial" w:hAnsi="Arial" w:cs="Arial"/>
          <w:szCs w:val="24"/>
        </w:rPr>
        <w:t xml:space="preserve">encourage riders to return to transit, including several programs focused on </w:t>
      </w:r>
      <w:r w:rsidR="00594687">
        <w:rPr>
          <w:rFonts w:ascii="Arial" w:hAnsi="Arial" w:cs="Arial"/>
          <w:szCs w:val="24"/>
        </w:rPr>
        <w:t xml:space="preserve">increasing access </w:t>
      </w:r>
      <w:r w:rsidR="006A1D21">
        <w:rPr>
          <w:rFonts w:ascii="Arial" w:hAnsi="Arial" w:cs="Arial"/>
          <w:szCs w:val="24"/>
        </w:rPr>
        <w:t>for</w:t>
      </w:r>
      <w:r w:rsidR="00C56EC9">
        <w:rPr>
          <w:rFonts w:ascii="Arial" w:hAnsi="Arial" w:cs="Arial"/>
          <w:szCs w:val="24"/>
        </w:rPr>
        <w:t xml:space="preserve"> riders who might otherwise find it difficult to use transit. Proposed spending includes:</w:t>
      </w:r>
    </w:p>
    <w:p w14:paraId="785758BD" w14:textId="49F4306A" w:rsidR="00C56EC9" w:rsidRDefault="00C56EC9" w:rsidP="008A5CF4">
      <w:pPr>
        <w:spacing w:line="264" w:lineRule="auto"/>
        <w:contextualSpacing/>
        <w:jc w:val="both"/>
        <w:rPr>
          <w:rFonts w:ascii="Arial" w:hAnsi="Arial" w:cs="Arial"/>
          <w:szCs w:val="24"/>
        </w:rPr>
      </w:pPr>
    </w:p>
    <w:p w14:paraId="37F236B0" w14:textId="30CB705B" w:rsidR="00C56EC9" w:rsidRDefault="008D090E" w:rsidP="00C56EC9">
      <w:pPr>
        <w:pStyle w:val="ListParagraph"/>
        <w:numPr>
          <w:ilvl w:val="0"/>
          <w:numId w:val="10"/>
        </w:numPr>
        <w:spacing w:line="264" w:lineRule="auto"/>
        <w:jc w:val="both"/>
        <w:rPr>
          <w:rFonts w:ascii="Arial" w:hAnsi="Arial" w:cs="Arial"/>
          <w:szCs w:val="24"/>
        </w:rPr>
      </w:pPr>
      <w:r w:rsidRPr="005748CF">
        <w:rPr>
          <w:rFonts w:ascii="Arial" w:hAnsi="Arial" w:cs="Arial"/>
          <w:b/>
          <w:bCs/>
          <w:szCs w:val="24"/>
        </w:rPr>
        <w:t>Bus, shelter, and facility cleaning and maintenance.</w:t>
      </w:r>
      <w:r>
        <w:rPr>
          <w:rFonts w:ascii="Arial" w:hAnsi="Arial" w:cs="Arial"/>
          <w:szCs w:val="24"/>
        </w:rPr>
        <w:t xml:space="preserve"> The proposed budget would add $10.3 million, 47.0 FTE</w:t>
      </w:r>
      <w:r w:rsidR="003224D6">
        <w:rPr>
          <w:rFonts w:ascii="Arial" w:hAnsi="Arial" w:cs="Arial"/>
          <w:szCs w:val="24"/>
        </w:rPr>
        <w:t>,</w:t>
      </w:r>
      <w:r>
        <w:rPr>
          <w:rFonts w:ascii="Arial" w:hAnsi="Arial" w:cs="Arial"/>
          <w:szCs w:val="24"/>
        </w:rPr>
        <w:t xml:space="preserve"> and 23.0 TLT</w:t>
      </w:r>
      <w:r w:rsidR="005748CF">
        <w:rPr>
          <w:rFonts w:ascii="Arial" w:hAnsi="Arial" w:cs="Arial"/>
          <w:szCs w:val="24"/>
        </w:rPr>
        <w:t xml:space="preserve"> to continue the enhanced cleaning practices that Metro implemented at the start of the pandemic</w:t>
      </w:r>
      <w:r w:rsidR="008A7B8F">
        <w:rPr>
          <w:rFonts w:ascii="Arial" w:hAnsi="Arial" w:cs="Arial"/>
          <w:szCs w:val="24"/>
        </w:rPr>
        <w:t xml:space="preserve"> and to address the backlog of preventative maintenance at Metro bus shelters and facilities</w:t>
      </w:r>
      <w:r w:rsidR="005748CF">
        <w:rPr>
          <w:rFonts w:ascii="Arial" w:hAnsi="Arial" w:cs="Arial"/>
          <w:szCs w:val="24"/>
        </w:rPr>
        <w:t xml:space="preserve">. </w:t>
      </w:r>
    </w:p>
    <w:p w14:paraId="427E4CF2" w14:textId="276A1D10" w:rsidR="00C36182" w:rsidRPr="00C36182" w:rsidRDefault="00C36182" w:rsidP="00C36182">
      <w:pPr>
        <w:pStyle w:val="ListParagraph"/>
        <w:spacing w:line="264" w:lineRule="auto"/>
        <w:jc w:val="both"/>
        <w:rPr>
          <w:rFonts w:ascii="Arial" w:hAnsi="Arial" w:cs="Arial"/>
          <w:szCs w:val="24"/>
        </w:rPr>
      </w:pPr>
    </w:p>
    <w:p w14:paraId="5BE55AFF" w14:textId="130617AF" w:rsidR="00156ED3" w:rsidRDefault="00156ED3" w:rsidP="00C56EC9">
      <w:pPr>
        <w:pStyle w:val="ListParagraph"/>
        <w:numPr>
          <w:ilvl w:val="0"/>
          <w:numId w:val="10"/>
        </w:numPr>
        <w:spacing w:line="264" w:lineRule="auto"/>
        <w:jc w:val="both"/>
        <w:rPr>
          <w:rFonts w:ascii="Arial" w:hAnsi="Arial" w:cs="Arial"/>
          <w:szCs w:val="24"/>
        </w:rPr>
      </w:pPr>
      <w:r w:rsidRPr="00EB7245">
        <w:rPr>
          <w:rFonts w:ascii="Arial" w:hAnsi="Arial" w:cs="Arial"/>
          <w:b/>
          <w:bCs/>
          <w:szCs w:val="24"/>
        </w:rPr>
        <w:t>Third Avenue</w:t>
      </w:r>
      <w:r w:rsidR="005B3F60" w:rsidRPr="00EB7245">
        <w:rPr>
          <w:rFonts w:ascii="Arial" w:hAnsi="Arial" w:cs="Arial"/>
          <w:b/>
          <w:bCs/>
          <w:szCs w:val="24"/>
        </w:rPr>
        <w:t xml:space="preserve"> improvements</w:t>
      </w:r>
      <w:r w:rsidRPr="00EB7245">
        <w:rPr>
          <w:rFonts w:ascii="Arial" w:hAnsi="Arial" w:cs="Arial"/>
          <w:b/>
          <w:bCs/>
          <w:szCs w:val="24"/>
        </w:rPr>
        <w:t>.</w:t>
      </w:r>
      <w:r w:rsidR="005B3F60">
        <w:rPr>
          <w:rFonts w:ascii="Arial" w:hAnsi="Arial" w:cs="Arial"/>
          <w:szCs w:val="24"/>
        </w:rPr>
        <w:t xml:space="preserve"> </w:t>
      </w:r>
      <w:r w:rsidR="00EB7245">
        <w:rPr>
          <w:rFonts w:ascii="Arial" w:hAnsi="Arial" w:cs="Arial"/>
          <w:szCs w:val="24"/>
        </w:rPr>
        <w:t xml:space="preserve">The proposed budget includes </w:t>
      </w:r>
      <w:r w:rsidR="004D3524">
        <w:rPr>
          <w:rFonts w:ascii="Arial" w:hAnsi="Arial" w:cs="Arial"/>
          <w:szCs w:val="24"/>
        </w:rPr>
        <w:t xml:space="preserve">a one-time appropriation of </w:t>
      </w:r>
      <w:r w:rsidR="00EB7245">
        <w:rPr>
          <w:rFonts w:ascii="Arial" w:hAnsi="Arial" w:cs="Arial"/>
          <w:szCs w:val="24"/>
        </w:rPr>
        <w:t xml:space="preserve">$3.3 million for a capital project to complete transit, sidewalk, and pedestrian enhancements along Third Avenue in Downtown Seattle, between Yesler Way and South Main Street. </w:t>
      </w:r>
      <w:r w:rsidR="00F257CE">
        <w:rPr>
          <w:rFonts w:ascii="Arial" w:hAnsi="Arial" w:cs="Arial"/>
          <w:szCs w:val="24"/>
        </w:rPr>
        <w:t xml:space="preserve">Metro states that it is coordinating work with </w:t>
      </w:r>
      <w:r w:rsidR="00EB7245" w:rsidRPr="004D3524">
        <w:rPr>
          <w:rFonts w:ascii="Arial" w:hAnsi="Arial" w:cs="Arial"/>
          <w:szCs w:val="24"/>
        </w:rPr>
        <w:t>the City of Seattle and other stakeholders seeking to make Downtown Seattle and the Third Avenue transit corridors more attractive to riders</w:t>
      </w:r>
      <w:r w:rsidR="00EB7245">
        <w:rPr>
          <w:rFonts w:ascii="Arial" w:hAnsi="Arial" w:cs="Arial"/>
          <w:szCs w:val="24"/>
        </w:rPr>
        <w:t>.</w:t>
      </w:r>
      <w:r w:rsidR="00DC23C9">
        <w:rPr>
          <w:rStyle w:val="FootnoteReference"/>
          <w:rFonts w:ascii="Arial" w:hAnsi="Arial" w:cs="Arial"/>
          <w:szCs w:val="24"/>
        </w:rPr>
        <w:footnoteReference w:id="21"/>
      </w:r>
    </w:p>
    <w:p w14:paraId="6041B56E" w14:textId="77777777" w:rsidR="003C5555" w:rsidRPr="003C5555" w:rsidRDefault="003C5555" w:rsidP="003C5555">
      <w:pPr>
        <w:pStyle w:val="ListParagraph"/>
        <w:rPr>
          <w:rFonts w:ascii="Arial" w:hAnsi="Arial" w:cs="Arial"/>
          <w:szCs w:val="24"/>
        </w:rPr>
      </w:pPr>
    </w:p>
    <w:p w14:paraId="06D62478" w14:textId="183F60F4" w:rsidR="003C5555" w:rsidRDefault="008A6CFD" w:rsidP="00C56EC9">
      <w:pPr>
        <w:pStyle w:val="ListParagraph"/>
        <w:numPr>
          <w:ilvl w:val="0"/>
          <w:numId w:val="10"/>
        </w:numPr>
        <w:spacing w:line="264" w:lineRule="auto"/>
        <w:jc w:val="both"/>
        <w:rPr>
          <w:rFonts w:ascii="Arial" w:hAnsi="Arial" w:cs="Arial"/>
          <w:szCs w:val="24"/>
        </w:rPr>
      </w:pPr>
      <w:r w:rsidRPr="00DB421F">
        <w:rPr>
          <w:rFonts w:ascii="Arial" w:hAnsi="Arial" w:cs="Arial"/>
          <w:b/>
          <w:bCs/>
          <w:szCs w:val="24"/>
        </w:rPr>
        <w:t>Advanced service management pilot.</w:t>
      </w:r>
      <w:r>
        <w:rPr>
          <w:rFonts w:ascii="Arial" w:hAnsi="Arial" w:cs="Arial"/>
          <w:szCs w:val="24"/>
        </w:rPr>
        <w:t xml:space="preserve"> The proposed budget includes $3.67 million, 4.0 FTE, and 6.0 TLT to </w:t>
      </w:r>
      <w:r w:rsidR="00B57368">
        <w:rPr>
          <w:rFonts w:ascii="Arial" w:hAnsi="Arial" w:cs="Arial"/>
          <w:szCs w:val="24"/>
        </w:rPr>
        <w:t>implement “active headway management,” in which buses are spaced</w:t>
      </w:r>
      <w:r w:rsidR="00DB421F">
        <w:rPr>
          <w:rFonts w:ascii="Arial" w:hAnsi="Arial" w:cs="Arial"/>
          <w:szCs w:val="24"/>
        </w:rPr>
        <w:t xml:space="preserve"> based on headway (the time between buses) rather than a schedule</w:t>
      </w:r>
      <w:r w:rsidR="00B57368">
        <w:rPr>
          <w:rFonts w:ascii="Arial" w:hAnsi="Arial" w:cs="Arial"/>
          <w:szCs w:val="24"/>
        </w:rPr>
        <w:t xml:space="preserve">. The goal is to provide more reliable service for riders, </w:t>
      </w:r>
      <w:r w:rsidR="00DB421F">
        <w:rPr>
          <w:rFonts w:ascii="Arial" w:hAnsi="Arial" w:cs="Arial"/>
          <w:szCs w:val="24"/>
        </w:rPr>
        <w:t>as well as more certainty for bus operators.</w:t>
      </w:r>
    </w:p>
    <w:p w14:paraId="4E3CD45A" w14:textId="77777777" w:rsidR="00156ED3" w:rsidRPr="00156ED3" w:rsidRDefault="00156ED3" w:rsidP="00156ED3">
      <w:pPr>
        <w:pStyle w:val="ListParagraph"/>
        <w:rPr>
          <w:rFonts w:ascii="Arial" w:hAnsi="Arial" w:cs="Arial"/>
          <w:szCs w:val="24"/>
        </w:rPr>
      </w:pPr>
    </w:p>
    <w:p w14:paraId="779FF311" w14:textId="28BB78A2" w:rsidR="00156ED3" w:rsidRPr="003F0F2F" w:rsidRDefault="00D75AD4" w:rsidP="00C56EC9">
      <w:pPr>
        <w:pStyle w:val="ListParagraph"/>
        <w:numPr>
          <w:ilvl w:val="0"/>
          <w:numId w:val="10"/>
        </w:numPr>
        <w:spacing w:line="264" w:lineRule="auto"/>
        <w:jc w:val="both"/>
        <w:rPr>
          <w:rFonts w:ascii="Arial" w:hAnsi="Arial" w:cs="Arial"/>
          <w:szCs w:val="24"/>
        </w:rPr>
      </w:pPr>
      <w:r w:rsidRPr="00D70C7C">
        <w:rPr>
          <w:rFonts w:ascii="Arial" w:hAnsi="Arial" w:cs="Arial"/>
          <w:b/>
          <w:bCs/>
          <w:szCs w:val="24"/>
        </w:rPr>
        <w:t>Ridership engagement and research.</w:t>
      </w:r>
      <w:r>
        <w:rPr>
          <w:rFonts w:ascii="Arial" w:hAnsi="Arial" w:cs="Arial"/>
          <w:szCs w:val="24"/>
        </w:rPr>
        <w:t xml:space="preserve"> The proposed budget includes </w:t>
      </w:r>
      <w:r w:rsidR="00B270E7">
        <w:rPr>
          <w:rFonts w:ascii="Arial" w:hAnsi="Arial" w:cs="Arial"/>
          <w:szCs w:val="24"/>
        </w:rPr>
        <w:t>$6.1 million, 2.0 FTE</w:t>
      </w:r>
      <w:r w:rsidR="003224D6">
        <w:rPr>
          <w:rFonts w:ascii="Arial" w:hAnsi="Arial" w:cs="Arial"/>
          <w:szCs w:val="24"/>
        </w:rPr>
        <w:t>,</w:t>
      </w:r>
      <w:r w:rsidR="00B270E7">
        <w:rPr>
          <w:rFonts w:ascii="Arial" w:hAnsi="Arial" w:cs="Arial"/>
          <w:szCs w:val="24"/>
        </w:rPr>
        <w:t xml:space="preserve"> and 10.5 TLT to </w:t>
      </w:r>
      <w:r w:rsidR="00D9366F">
        <w:rPr>
          <w:rFonts w:ascii="Arial" w:hAnsi="Arial" w:cs="Arial"/>
          <w:szCs w:val="24"/>
        </w:rPr>
        <w:t xml:space="preserve">engage with partners and community stakeholders in an effort to rebuild ridership on the transit system. </w:t>
      </w:r>
      <w:r w:rsidR="00D9366F" w:rsidRPr="003F0F2F">
        <w:rPr>
          <w:rFonts w:ascii="Arial" w:hAnsi="Arial" w:cs="Arial"/>
          <w:szCs w:val="24"/>
        </w:rPr>
        <w:t xml:space="preserve">Projects will include </w:t>
      </w:r>
      <w:r w:rsidR="00832C9E" w:rsidRPr="003F0F2F">
        <w:rPr>
          <w:rFonts w:ascii="Arial" w:hAnsi="Arial" w:cs="Arial"/>
          <w:szCs w:val="24"/>
        </w:rPr>
        <w:t>outreach to and incentives for businesses</w:t>
      </w:r>
      <w:r w:rsidR="00480558">
        <w:rPr>
          <w:rFonts w:ascii="Arial" w:hAnsi="Arial" w:cs="Arial"/>
          <w:szCs w:val="24"/>
        </w:rPr>
        <w:t xml:space="preserve"> and community-based organizations</w:t>
      </w:r>
      <w:r w:rsidR="00832C9E" w:rsidRPr="003F0F2F">
        <w:rPr>
          <w:rFonts w:ascii="Arial" w:hAnsi="Arial" w:cs="Arial"/>
          <w:szCs w:val="24"/>
        </w:rPr>
        <w:t xml:space="preserve">, as well as </w:t>
      </w:r>
      <w:r w:rsidR="003F0F2F" w:rsidRPr="003F0F2F">
        <w:rPr>
          <w:rFonts w:ascii="Arial" w:hAnsi="Arial" w:cs="Arial"/>
          <w:szCs w:val="24"/>
        </w:rPr>
        <w:t>pilot projects to increase the use of ORCA fare cards.</w:t>
      </w:r>
    </w:p>
    <w:p w14:paraId="08E0D549" w14:textId="77777777" w:rsidR="00156ED3" w:rsidRPr="00156ED3" w:rsidRDefault="00156ED3" w:rsidP="00156ED3">
      <w:pPr>
        <w:pStyle w:val="ListParagraph"/>
        <w:rPr>
          <w:rFonts w:ascii="Arial" w:hAnsi="Arial" w:cs="Arial"/>
          <w:b/>
          <w:bCs/>
          <w:szCs w:val="24"/>
        </w:rPr>
      </w:pPr>
    </w:p>
    <w:p w14:paraId="1B9B238B" w14:textId="6135B491" w:rsidR="00C36182" w:rsidRPr="003D2C72" w:rsidRDefault="00756917" w:rsidP="00C56EC9">
      <w:pPr>
        <w:pStyle w:val="ListParagraph"/>
        <w:numPr>
          <w:ilvl w:val="0"/>
          <w:numId w:val="10"/>
        </w:numPr>
        <w:spacing w:line="264" w:lineRule="auto"/>
        <w:jc w:val="both"/>
        <w:rPr>
          <w:rFonts w:ascii="Arial" w:hAnsi="Arial" w:cs="Arial"/>
          <w:szCs w:val="24"/>
        </w:rPr>
      </w:pPr>
      <w:r>
        <w:rPr>
          <w:rFonts w:ascii="Arial" w:hAnsi="Arial" w:cs="Arial"/>
          <w:b/>
          <w:bCs/>
          <w:szCs w:val="24"/>
        </w:rPr>
        <w:t xml:space="preserve">Youth outreach. </w:t>
      </w:r>
      <w:r w:rsidR="003D2C72" w:rsidRPr="003D2C72">
        <w:rPr>
          <w:rFonts w:ascii="Arial" w:hAnsi="Arial" w:cs="Arial"/>
          <w:szCs w:val="24"/>
        </w:rPr>
        <w:t xml:space="preserve">In response to the Move Ahead Washington statewide transportation investment program, </w:t>
      </w:r>
      <w:r w:rsidR="003D2C72">
        <w:rPr>
          <w:rFonts w:ascii="Arial" w:hAnsi="Arial" w:cs="Arial"/>
          <w:szCs w:val="24"/>
        </w:rPr>
        <w:t xml:space="preserve">the Council approved </w:t>
      </w:r>
      <w:r w:rsidR="00132405">
        <w:rPr>
          <w:rFonts w:ascii="Arial" w:hAnsi="Arial" w:cs="Arial"/>
          <w:szCs w:val="24"/>
        </w:rPr>
        <w:t xml:space="preserve">a </w:t>
      </w:r>
      <w:r w:rsidR="00AF21CF">
        <w:rPr>
          <w:rFonts w:ascii="Arial" w:hAnsi="Arial" w:cs="Arial"/>
          <w:szCs w:val="24"/>
        </w:rPr>
        <w:t>free</w:t>
      </w:r>
      <w:r w:rsidR="003D2C72">
        <w:rPr>
          <w:rFonts w:ascii="Arial" w:hAnsi="Arial" w:cs="Arial"/>
          <w:szCs w:val="24"/>
        </w:rPr>
        <w:t xml:space="preserve"> transit fare for youth,</w:t>
      </w:r>
      <w:r w:rsidR="00B80803">
        <w:rPr>
          <w:rStyle w:val="FootnoteReference"/>
          <w:rFonts w:ascii="Arial" w:hAnsi="Arial" w:cs="Arial"/>
          <w:szCs w:val="24"/>
        </w:rPr>
        <w:footnoteReference w:id="22"/>
      </w:r>
      <w:r w:rsidR="003D2C72">
        <w:rPr>
          <w:rFonts w:ascii="Arial" w:hAnsi="Arial" w:cs="Arial"/>
          <w:szCs w:val="24"/>
        </w:rPr>
        <w:t xml:space="preserve"> which took effect September 1. </w:t>
      </w:r>
      <w:r w:rsidR="002F2E7C">
        <w:rPr>
          <w:rFonts w:ascii="Arial" w:hAnsi="Arial" w:cs="Arial"/>
          <w:szCs w:val="24"/>
        </w:rPr>
        <w:t>The proposed budget includes $1.6 million, 1.0 FTE</w:t>
      </w:r>
      <w:r w:rsidR="003224D6">
        <w:rPr>
          <w:rFonts w:ascii="Arial" w:hAnsi="Arial" w:cs="Arial"/>
          <w:szCs w:val="24"/>
        </w:rPr>
        <w:t>,</w:t>
      </w:r>
      <w:r w:rsidR="002F2E7C">
        <w:rPr>
          <w:rFonts w:ascii="Arial" w:hAnsi="Arial" w:cs="Arial"/>
          <w:szCs w:val="24"/>
        </w:rPr>
        <w:t xml:space="preserve"> and 2.0 TLT to </w:t>
      </w:r>
      <w:r w:rsidR="009B2FDC">
        <w:rPr>
          <w:rFonts w:ascii="Arial" w:hAnsi="Arial" w:cs="Arial"/>
          <w:szCs w:val="24"/>
        </w:rPr>
        <w:t xml:space="preserve">implement the new free youth fare policy by distributing youth transit passes and providing transit education. </w:t>
      </w:r>
      <w:r w:rsidR="009B6831">
        <w:rPr>
          <w:rFonts w:ascii="Arial" w:hAnsi="Arial" w:cs="Arial"/>
          <w:szCs w:val="24"/>
        </w:rPr>
        <w:t>Metro states that it has distributed 29,000</w:t>
      </w:r>
      <w:r w:rsidR="007C254A">
        <w:rPr>
          <w:rFonts w:ascii="Arial" w:hAnsi="Arial" w:cs="Arial"/>
          <w:szCs w:val="24"/>
        </w:rPr>
        <w:t xml:space="preserve"> cards, for a total of </w:t>
      </w:r>
      <w:r w:rsidR="003369DA">
        <w:rPr>
          <w:rFonts w:ascii="Arial" w:hAnsi="Arial" w:cs="Arial"/>
          <w:szCs w:val="24"/>
        </w:rPr>
        <w:t xml:space="preserve">75,000 cards currently in circulation and aims to secure and distribute 25,000 additional cards </w:t>
      </w:r>
      <w:r w:rsidR="005B47F4">
        <w:rPr>
          <w:rFonts w:ascii="Arial" w:hAnsi="Arial" w:cs="Arial"/>
          <w:szCs w:val="24"/>
        </w:rPr>
        <w:t xml:space="preserve">to middle and high school students </w:t>
      </w:r>
      <w:r w:rsidR="003369DA">
        <w:rPr>
          <w:rFonts w:ascii="Arial" w:hAnsi="Arial" w:cs="Arial"/>
          <w:szCs w:val="24"/>
        </w:rPr>
        <w:t xml:space="preserve">during the 2022-2023 school year, </w:t>
      </w:r>
      <w:r w:rsidR="005B47F4">
        <w:rPr>
          <w:rFonts w:ascii="Arial" w:hAnsi="Arial" w:cs="Arial"/>
          <w:szCs w:val="24"/>
        </w:rPr>
        <w:t xml:space="preserve">focusing on low-income </w:t>
      </w:r>
      <w:r w:rsidR="005B47F4">
        <w:rPr>
          <w:rFonts w:ascii="Arial" w:hAnsi="Arial" w:cs="Arial"/>
          <w:szCs w:val="24"/>
        </w:rPr>
        <w:lastRenderedPageBreak/>
        <w:t xml:space="preserve">school districts and </w:t>
      </w:r>
      <w:r w:rsidR="003369DA">
        <w:rPr>
          <w:rFonts w:ascii="Arial" w:hAnsi="Arial" w:cs="Arial"/>
          <w:szCs w:val="24"/>
        </w:rPr>
        <w:t>noting that card availability has been limited by supply chain issues.</w:t>
      </w:r>
    </w:p>
    <w:p w14:paraId="6692FF8F" w14:textId="3062FFC5" w:rsidR="00413965" w:rsidRDefault="00413965" w:rsidP="008A5CF4">
      <w:pPr>
        <w:spacing w:line="264" w:lineRule="auto"/>
        <w:contextualSpacing/>
        <w:jc w:val="both"/>
        <w:rPr>
          <w:rFonts w:ascii="Arial" w:hAnsi="Arial" w:cs="Arial"/>
          <w:szCs w:val="24"/>
        </w:rPr>
      </w:pPr>
    </w:p>
    <w:p w14:paraId="154AB2B8" w14:textId="291FBEBC" w:rsidR="00413965" w:rsidRDefault="00502677" w:rsidP="00413965">
      <w:pPr>
        <w:pStyle w:val="ListParagraph"/>
        <w:numPr>
          <w:ilvl w:val="0"/>
          <w:numId w:val="10"/>
        </w:numPr>
        <w:spacing w:line="264" w:lineRule="auto"/>
        <w:jc w:val="both"/>
        <w:rPr>
          <w:rFonts w:ascii="Arial" w:hAnsi="Arial" w:cs="Arial"/>
          <w:szCs w:val="24"/>
        </w:rPr>
      </w:pPr>
      <w:r w:rsidRPr="00491B2D">
        <w:rPr>
          <w:rFonts w:ascii="Arial" w:hAnsi="Arial" w:cs="Arial"/>
          <w:b/>
          <w:bCs/>
          <w:szCs w:val="24"/>
        </w:rPr>
        <w:t xml:space="preserve">Increased </w:t>
      </w:r>
      <w:r w:rsidR="00491B2D" w:rsidRPr="00491B2D">
        <w:rPr>
          <w:rFonts w:ascii="Arial" w:hAnsi="Arial" w:cs="Arial"/>
          <w:b/>
          <w:bCs/>
          <w:szCs w:val="24"/>
        </w:rPr>
        <w:t xml:space="preserve">resources for reduced fare </w:t>
      </w:r>
      <w:r w:rsidR="009636E2">
        <w:rPr>
          <w:rFonts w:ascii="Arial" w:hAnsi="Arial" w:cs="Arial"/>
          <w:b/>
          <w:bCs/>
          <w:szCs w:val="24"/>
        </w:rPr>
        <w:t>and paratransit riders</w:t>
      </w:r>
      <w:r w:rsidR="00491B2D" w:rsidRPr="00491B2D">
        <w:rPr>
          <w:rFonts w:ascii="Arial" w:hAnsi="Arial" w:cs="Arial"/>
          <w:b/>
          <w:bCs/>
          <w:szCs w:val="24"/>
        </w:rPr>
        <w:t>.</w:t>
      </w:r>
      <w:r>
        <w:rPr>
          <w:rFonts w:ascii="Arial" w:hAnsi="Arial" w:cs="Arial"/>
          <w:szCs w:val="24"/>
        </w:rPr>
        <w:t xml:space="preserve"> </w:t>
      </w:r>
      <w:r w:rsidR="00491B2D">
        <w:rPr>
          <w:rFonts w:ascii="Arial" w:hAnsi="Arial" w:cs="Arial"/>
          <w:szCs w:val="24"/>
        </w:rPr>
        <w:t>The proposed budget includes legislation</w:t>
      </w:r>
      <w:r w:rsidR="00491B2D">
        <w:rPr>
          <w:rStyle w:val="FootnoteReference"/>
          <w:rFonts w:ascii="Arial" w:hAnsi="Arial" w:cs="Arial"/>
          <w:szCs w:val="24"/>
        </w:rPr>
        <w:footnoteReference w:id="23"/>
      </w:r>
      <w:r w:rsidR="00491B2D">
        <w:rPr>
          <w:rFonts w:ascii="Arial" w:hAnsi="Arial" w:cs="Arial"/>
          <w:szCs w:val="24"/>
        </w:rPr>
        <w:t xml:space="preserve"> that would lower</w:t>
      </w:r>
      <w:r w:rsidR="00C80721">
        <w:rPr>
          <w:rFonts w:ascii="Arial" w:hAnsi="Arial" w:cs="Arial"/>
          <w:szCs w:val="24"/>
        </w:rPr>
        <w:t xml:space="preserve"> the ORCA LIFT low-income fare from $1.50 to $1.00 for twelve months starting January 1, 2023, at a cost of $554,000. The budget also includes </w:t>
      </w:r>
      <w:r w:rsidR="006A538F">
        <w:rPr>
          <w:rFonts w:ascii="Arial" w:hAnsi="Arial" w:cs="Arial"/>
          <w:szCs w:val="24"/>
        </w:rPr>
        <w:t>$2.4 million, 5.0 FTE</w:t>
      </w:r>
      <w:r w:rsidR="00C2547C">
        <w:rPr>
          <w:rFonts w:ascii="Arial" w:hAnsi="Arial" w:cs="Arial"/>
          <w:szCs w:val="24"/>
        </w:rPr>
        <w:t>,</w:t>
      </w:r>
      <w:r w:rsidR="006A538F">
        <w:rPr>
          <w:rFonts w:ascii="Arial" w:hAnsi="Arial" w:cs="Arial"/>
          <w:szCs w:val="24"/>
        </w:rPr>
        <w:t xml:space="preserve"> and 1.0 TLT </w:t>
      </w:r>
      <w:r w:rsidR="003E2DD8">
        <w:rPr>
          <w:rFonts w:ascii="Arial" w:hAnsi="Arial" w:cs="Arial"/>
          <w:szCs w:val="24"/>
        </w:rPr>
        <w:t xml:space="preserve">to provide additional customer service support, including wayfinding, for Access paratransit and ORCA LIFT </w:t>
      </w:r>
      <w:r w:rsidR="0085235B">
        <w:rPr>
          <w:rFonts w:ascii="Arial" w:hAnsi="Arial" w:cs="Arial"/>
          <w:szCs w:val="24"/>
        </w:rPr>
        <w:t>passengers</w:t>
      </w:r>
      <w:r w:rsidR="006E2F4F">
        <w:rPr>
          <w:rFonts w:ascii="Arial" w:hAnsi="Arial" w:cs="Arial"/>
          <w:szCs w:val="24"/>
        </w:rPr>
        <w:t>.</w:t>
      </w:r>
      <w:r w:rsidR="006E2F4F">
        <w:rPr>
          <w:rStyle w:val="FootnoteReference"/>
          <w:rFonts w:ascii="Arial" w:hAnsi="Arial" w:cs="Arial"/>
          <w:szCs w:val="24"/>
        </w:rPr>
        <w:footnoteReference w:id="24"/>
      </w:r>
    </w:p>
    <w:p w14:paraId="490826D4" w14:textId="77777777" w:rsidR="00502677" w:rsidRPr="00502677" w:rsidRDefault="00502677" w:rsidP="00502677">
      <w:pPr>
        <w:pStyle w:val="ListParagraph"/>
        <w:rPr>
          <w:rFonts w:ascii="Arial" w:hAnsi="Arial" w:cs="Arial"/>
          <w:szCs w:val="24"/>
        </w:rPr>
      </w:pPr>
    </w:p>
    <w:p w14:paraId="1246A8DF" w14:textId="158B6131" w:rsidR="00B42307" w:rsidRPr="00F933F2" w:rsidRDefault="00B42307" w:rsidP="00181DEB">
      <w:pPr>
        <w:pStyle w:val="ListParagraph"/>
        <w:numPr>
          <w:ilvl w:val="0"/>
          <w:numId w:val="10"/>
        </w:numPr>
        <w:spacing w:line="264" w:lineRule="auto"/>
        <w:jc w:val="both"/>
        <w:rPr>
          <w:rFonts w:ascii="Arial" w:hAnsi="Arial" w:cs="Arial"/>
          <w:szCs w:val="24"/>
        </w:rPr>
      </w:pPr>
      <w:r w:rsidRPr="00F933F2">
        <w:rPr>
          <w:rFonts w:ascii="Arial" w:hAnsi="Arial" w:cs="Arial"/>
          <w:b/>
          <w:bCs/>
          <w:szCs w:val="24"/>
        </w:rPr>
        <w:t xml:space="preserve">Health through </w:t>
      </w:r>
      <w:r w:rsidR="00B07F54" w:rsidRPr="00F933F2">
        <w:rPr>
          <w:rFonts w:ascii="Arial" w:hAnsi="Arial" w:cs="Arial"/>
          <w:b/>
          <w:bCs/>
          <w:szCs w:val="24"/>
        </w:rPr>
        <w:t>H</w:t>
      </w:r>
      <w:r w:rsidRPr="00F933F2">
        <w:rPr>
          <w:rFonts w:ascii="Arial" w:hAnsi="Arial" w:cs="Arial"/>
          <w:b/>
          <w:bCs/>
          <w:szCs w:val="24"/>
        </w:rPr>
        <w:t>ousing</w:t>
      </w:r>
      <w:r w:rsidR="00B07F54" w:rsidRPr="00F933F2">
        <w:rPr>
          <w:rFonts w:ascii="Arial" w:hAnsi="Arial" w:cs="Arial"/>
          <w:b/>
          <w:bCs/>
          <w:szCs w:val="24"/>
        </w:rPr>
        <w:t xml:space="preserve"> support.</w:t>
      </w:r>
      <w:r w:rsidR="00B07F54" w:rsidRPr="00F933F2">
        <w:rPr>
          <w:rFonts w:ascii="Arial" w:hAnsi="Arial" w:cs="Arial"/>
          <w:szCs w:val="24"/>
        </w:rPr>
        <w:t xml:space="preserve"> The proposed budget includes </w:t>
      </w:r>
      <w:r w:rsidR="00B8306D" w:rsidRPr="00F933F2">
        <w:rPr>
          <w:rFonts w:ascii="Arial" w:hAnsi="Arial" w:cs="Arial"/>
          <w:szCs w:val="24"/>
        </w:rPr>
        <w:t>$16.5 million</w:t>
      </w:r>
      <w:r w:rsidR="00C2547C" w:rsidRPr="00F933F2">
        <w:rPr>
          <w:rFonts w:ascii="Arial" w:hAnsi="Arial" w:cs="Arial"/>
          <w:szCs w:val="24"/>
        </w:rPr>
        <w:t xml:space="preserve"> and</w:t>
      </w:r>
      <w:r w:rsidR="00B8306D" w:rsidRPr="00F933F2">
        <w:rPr>
          <w:rFonts w:ascii="Arial" w:hAnsi="Arial" w:cs="Arial"/>
          <w:szCs w:val="24"/>
        </w:rPr>
        <w:t xml:space="preserve"> 1.0 TLT to provide mobility services to residents of DCHS Health through Housing</w:t>
      </w:r>
      <w:r w:rsidR="00632AD6" w:rsidRPr="00F933F2">
        <w:rPr>
          <w:rFonts w:ascii="Arial" w:hAnsi="Arial" w:cs="Arial"/>
          <w:szCs w:val="24"/>
        </w:rPr>
        <w:t xml:space="preserve"> units. </w:t>
      </w:r>
      <w:r w:rsidR="00ED67AB" w:rsidRPr="00F933F2">
        <w:rPr>
          <w:rFonts w:ascii="Arial" w:hAnsi="Arial" w:cs="Arial"/>
          <w:szCs w:val="24"/>
        </w:rPr>
        <w:t xml:space="preserve">Services would be customized based on the needs of residents at each site. </w:t>
      </w:r>
      <w:r w:rsidR="00B51B2C" w:rsidRPr="00F933F2">
        <w:rPr>
          <w:rFonts w:ascii="Arial" w:hAnsi="Arial" w:cs="Arial"/>
          <w:szCs w:val="24"/>
        </w:rPr>
        <w:t>Metro staff note that</w:t>
      </w:r>
      <w:r w:rsidR="00ED67AB" w:rsidRPr="00F933F2">
        <w:rPr>
          <w:rFonts w:ascii="Arial" w:hAnsi="Arial" w:cs="Arial"/>
          <w:szCs w:val="24"/>
        </w:rPr>
        <w:t xml:space="preserve"> at a site </w:t>
      </w:r>
      <w:r w:rsidR="00921A91" w:rsidRPr="00F933F2">
        <w:rPr>
          <w:rFonts w:ascii="Arial" w:hAnsi="Arial" w:cs="Arial"/>
          <w:szCs w:val="24"/>
        </w:rPr>
        <w:t xml:space="preserve">that is </w:t>
      </w:r>
      <w:r w:rsidR="001D77C2" w:rsidRPr="00F933F2">
        <w:rPr>
          <w:rFonts w:ascii="Arial" w:hAnsi="Arial" w:cs="Arial"/>
          <w:szCs w:val="24"/>
        </w:rPr>
        <w:t>close to frequent transit, for</w:t>
      </w:r>
      <w:r w:rsidR="00B51B2C" w:rsidRPr="00F933F2">
        <w:rPr>
          <w:rFonts w:ascii="Arial" w:hAnsi="Arial" w:cs="Arial"/>
          <w:szCs w:val="24"/>
        </w:rPr>
        <w:t xml:space="preserve"> example, </w:t>
      </w:r>
      <w:r w:rsidR="00A62D3D" w:rsidRPr="00F933F2">
        <w:rPr>
          <w:rFonts w:ascii="Arial" w:hAnsi="Arial" w:cs="Arial"/>
          <w:szCs w:val="24"/>
        </w:rPr>
        <w:t>residents might be provided with fare media</w:t>
      </w:r>
      <w:r w:rsidR="001D77C2" w:rsidRPr="00F933F2">
        <w:rPr>
          <w:rFonts w:ascii="Arial" w:hAnsi="Arial" w:cs="Arial"/>
          <w:szCs w:val="24"/>
        </w:rPr>
        <w:t xml:space="preserve">, while </w:t>
      </w:r>
      <w:r w:rsidR="00A62D3D" w:rsidRPr="00F933F2">
        <w:rPr>
          <w:rFonts w:ascii="Arial" w:hAnsi="Arial" w:cs="Arial"/>
          <w:szCs w:val="24"/>
        </w:rPr>
        <w:t xml:space="preserve">at a site that is farther from transit, </w:t>
      </w:r>
      <w:r w:rsidR="00F356B2" w:rsidRPr="00F933F2">
        <w:rPr>
          <w:rFonts w:ascii="Arial" w:hAnsi="Arial" w:cs="Arial"/>
          <w:szCs w:val="24"/>
        </w:rPr>
        <w:t>Metro</w:t>
      </w:r>
      <w:r w:rsidR="00A62D3D" w:rsidRPr="00F933F2">
        <w:rPr>
          <w:rFonts w:ascii="Arial" w:hAnsi="Arial" w:cs="Arial"/>
          <w:szCs w:val="24"/>
        </w:rPr>
        <w:t xml:space="preserve"> might provide on-demand services or a shuttle van.</w:t>
      </w:r>
      <w:r w:rsidR="00F933F2" w:rsidRPr="00F933F2">
        <w:rPr>
          <w:rFonts w:ascii="Arial" w:hAnsi="Arial" w:cs="Arial"/>
          <w:szCs w:val="24"/>
        </w:rPr>
        <w:t xml:space="preserve"> Metro states that three of the sites in operation are already leasing Metro vans for use in transporting residents to opportunities and Metro is working with those site operators on solutions for additional mobility needs. Metro notes that Health </w:t>
      </w:r>
      <w:r w:rsidR="00F933F2">
        <w:rPr>
          <w:rFonts w:ascii="Arial" w:hAnsi="Arial" w:cs="Arial"/>
          <w:szCs w:val="24"/>
        </w:rPr>
        <w:t>t</w:t>
      </w:r>
      <w:r w:rsidR="00F933F2" w:rsidRPr="00F933F2">
        <w:rPr>
          <w:rFonts w:ascii="Arial" w:hAnsi="Arial" w:cs="Arial"/>
          <w:szCs w:val="24"/>
        </w:rPr>
        <w:t>hrough Housing fund</w:t>
      </w:r>
      <w:r w:rsidR="0086776E">
        <w:rPr>
          <w:rFonts w:ascii="Arial" w:hAnsi="Arial" w:cs="Arial"/>
          <w:szCs w:val="24"/>
        </w:rPr>
        <w:t>ing</w:t>
      </w:r>
      <w:r w:rsidR="00F933F2" w:rsidRPr="00F933F2">
        <w:rPr>
          <w:rFonts w:ascii="Arial" w:hAnsi="Arial" w:cs="Arial"/>
          <w:szCs w:val="24"/>
        </w:rPr>
        <w:t xml:space="preserve"> </w:t>
      </w:r>
      <w:r w:rsidR="0086776E">
        <w:rPr>
          <w:rFonts w:ascii="Arial" w:hAnsi="Arial" w:cs="Arial"/>
          <w:szCs w:val="24"/>
        </w:rPr>
        <w:t>is</w:t>
      </w:r>
      <w:r w:rsidR="00F933F2" w:rsidRPr="00F933F2">
        <w:rPr>
          <w:rFonts w:ascii="Arial" w:hAnsi="Arial" w:cs="Arial"/>
          <w:szCs w:val="24"/>
        </w:rPr>
        <w:t xml:space="preserve"> covering the cost of this current leasing of vans and future solutions</w:t>
      </w:r>
      <w:r w:rsidR="00971C79">
        <w:rPr>
          <w:rFonts w:ascii="Arial" w:hAnsi="Arial" w:cs="Arial"/>
          <w:szCs w:val="24"/>
        </w:rPr>
        <w:t>,</w:t>
      </w:r>
      <w:r w:rsidR="00F933F2" w:rsidRPr="00F933F2">
        <w:rPr>
          <w:rFonts w:ascii="Arial" w:hAnsi="Arial" w:cs="Arial"/>
          <w:szCs w:val="24"/>
        </w:rPr>
        <w:t xml:space="preserve"> which will depend on existing transit services in the vicinity of the site location. Funding will also support a project manager and engagement with property operators and residents to design and implement solutions.</w:t>
      </w:r>
    </w:p>
    <w:p w14:paraId="71C2440E" w14:textId="1F525343" w:rsidR="004E4EEC" w:rsidRPr="00473E20" w:rsidRDefault="004E4EEC" w:rsidP="008A5CF4">
      <w:pPr>
        <w:spacing w:line="264" w:lineRule="auto"/>
        <w:contextualSpacing/>
        <w:jc w:val="both"/>
        <w:rPr>
          <w:rFonts w:ascii="Arial" w:hAnsi="Arial" w:cs="Arial"/>
          <w:szCs w:val="24"/>
        </w:rPr>
      </w:pPr>
    </w:p>
    <w:p w14:paraId="345105B6" w14:textId="000E26BC" w:rsidR="00473E20" w:rsidRDefault="00473E20" w:rsidP="008A5CF4">
      <w:pPr>
        <w:spacing w:line="264" w:lineRule="auto"/>
        <w:contextualSpacing/>
        <w:jc w:val="both"/>
        <w:rPr>
          <w:rFonts w:ascii="Arial" w:hAnsi="Arial" w:cs="Arial"/>
        </w:rPr>
      </w:pPr>
      <w:r w:rsidRPr="00473E20">
        <w:rPr>
          <w:rFonts w:ascii="Arial" w:hAnsi="Arial" w:cs="Arial"/>
          <w:b/>
          <w:bCs/>
        </w:rPr>
        <w:t>Safety, Security, and Fare Enforcement (SaFE) Reform Initiative.</w:t>
      </w:r>
      <w:r>
        <w:rPr>
          <w:rFonts w:ascii="Arial" w:hAnsi="Arial" w:cs="Arial"/>
        </w:rPr>
        <w:t xml:space="preserve"> </w:t>
      </w:r>
      <w:r w:rsidR="004A77A0">
        <w:rPr>
          <w:rFonts w:ascii="Arial" w:hAnsi="Arial" w:cs="Arial"/>
        </w:rPr>
        <w:t>In response to ongoing safety and security incidents on Metro buses and at transit stops and bases, t</w:t>
      </w:r>
      <w:r w:rsidR="003E4059">
        <w:rPr>
          <w:rFonts w:ascii="Arial" w:hAnsi="Arial" w:cs="Arial"/>
        </w:rPr>
        <w:t xml:space="preserve">he proposed budget would </w:t>
      </w:r>
      <w:r w:rsidR="00B738A6">
        <w:rPr>
          <w:rFonts w:ascii="Arial" w:hAnsi="Arial" w:cs="Arial"/>
        </w:rPr>
        <w:t xml:space="preserve">implement </w:t>
      </w:r>
      <w:r w:rsidR="00F71DA8">
        <w:rPr>
          <w:rFonts w:ascii="Arial" w:hAnsi="Arial" w:cs="Arial"/>
        </w:rPr>
        <w:t>several</w:t>
      </w:r>
      <w:r w:rsidR="00B738A6">
        <w:rPr>
          <w:rFonts w:ascii="Arial" w:hAnsi="Arial" w:cs="Arial"/>
        </w:rPr>
        <w:t xml:space="preserve"> initiatives that emerged from Metro’s SaFE Reform Initiative</w:t>
      </w:r>
      <w:r w:rsidR="007D545F">
        <w:rPr>
          <w:rFonts w:ascii="Arial" w:hAnsi="Arial" w:cs="Arial"/>
        </w:rPr>
        <w:t>, which aimed</w:t>
      </w:r>
      <w:r w:rsidR="00B738A6">
        <w:rPr>
          <w:rFonts w:ascii="Arial" w:hAnsi="Arial" w:cs="Arial"/>
        </w:rPr>
        <w:t xml:space="preserve"> to make passengers and employees safer </w:t>
      </w:r>
      <w:r w:rsidR="001A010E">
        <w:rPr>
          <w:rFonts w:ascii="Arial" w:hAnsi="Arial" w:cs="Arial"/>
        </w:rPr>
        <w:t xml:space="preserve">and to reimagine </w:t>
      </w:r>
      <w:r w:rsidR="0039242F">
        <w:rPr>
          <w:rFonts w:ascii="Arial" w:hAnsi="Arial" w:cs="Arial"/>
        </w:rPr>
        <w:t xml:space="preserve">Metro’s </w:t>
      </w:r>
      <w:r w:rsidR="001A010E">
        <w:rPr>
          <w:rFonts w:ascii="Arial" w:hAnsi="Arial" w:cs="Arial"/>
        </w:rPr>
        <w:t>safety and security functions</w:t>
      </w:r>
      <w:r w:rsidR="00B738A6">
        <w:rPr>
          <w:rFonts w:ascii="Arial" w:hAnsi="Arial" w:cs="Arial"/>
        </w:rPr>
        <w:t xml:space="preserve">. </w:t>
      </w:r>
      <w:r w:rsidR="001A010E">
        <w:rPr>
          <w:rFonts w:ascii="Arial" w:hAnsi="Arial" w:cs="Arial"/>
        </w:rPr>
        <w:t>Budget initiatives include:</w:t>
      </w:r>
    </w:p>
    <w:p w14:paraId="79561AB1" w14:textId="774ADEBA" w:rsidR="001A010E" w:rsidRDefault="001A010E" w:rsidP="008A5CF4">
      <w:pPr>
        <w:spacing w:line="264" w:lineRule="auto"/>
        <w:contextualSpacing/>
        <w:jc w:val="both"/>
        <w:rPr>
          <w:rFonts w:ascii="Arial" w:hAnsi="Arial" w:cs="Arial"/>
        </w:rPr>
      </w:pPr>
    </w:p>
    <w:p w14:paraId="0E4F6B1A" w14:textId="01CBDC79" w:rsidR="001A010E" w:rsidRDefault="008D0868" w:rsidP="001A010E">
      <w:pPr>
        <w:pStyle w:val="ListParagraph"/>
        <w:numPr>
          <w:ilvl w:val="0"/>
          <w:numId w:val="12"/>
        </w:numPr>
        <w:spacing w:line="264" w:lineRule="auto"/>
        <w:jc w:val="both"/>
        <w:rPr>
          <w:rFonts w:ascii="Arial" w:hAnsi="Arial" w:cs="Arial"/>
          <w:szCs w:val="24"/>
        </w:rPr>
      </w:pPr>
      <w:r w:rsidRPr="008D0868">
        <w:rPr>
          <w:rFonts w:ascii="Arial" w:hAnsi="Arial" w:cs="Arial"/>
          <w:b/>
          <w:bCs/>
          <w:szCs w:val="24"/>
        </w:rPr>
        <w:t xml:space="preserve">SaFE implementation strategies. </w:t>
      </w:r>
      <w:r>
        <w:rPr>
          <w:rFonts w:ascii="Arial" w:hAnsi="Arial" w:cs="Arial"/>
          <w:szCs w:val="24"/>
        </w:rPr>
        <w:t>The proposed budget includes $3.8 million</w:t>
      </w:r>
      <w:r w:rsidR="00B36576">
        <w:rPr>
          <w:rFonts w:ascii="Arial" w:hAnsi="Arial" w:cs="Arial"/>
          <w:szCs w:val="24"/>
        </w:rPr>
        <w:t xml:space="preserve"> and 1.0 TLT</w:t>
      </w:r>
      <w:r>
        <w:rPr>
          <w:rFonts w:ascii="Arial" w:hAnsi="Arial" w:cs="Arial"/>
          <w:szCs w:val="24"/>
        </w:rPr>
        <w:t xml:space="preserve">, to be offset by $500,000 in funding </w:t>
      </w:r>
      <w:r w:rsidR="00B36576">
        <w:rPr>
          <w:rFonts w:ascii="Arial" w:hAnsi="Arial" w:cs="Arial"/>
          <w:szCs w:val="24"/>
        </w:rPr>
        <w:t>from</w:t>
      </w:r>
      <w:r>
        <w:rPr>
          <w:rFonts w:ascii="Arial" w:hAnsi="Arial" w:cs="Arial"/>
          <w:szCs w:val="24"/>
        </w:rPr>
        <w:t xml:space="preserve"> the Move Ahead Washington transportation investment program, </w:t>
      </w:r>
      <w:r w:rsidR="00B36576">
        <w:rPr>
          <w:rFonts w:ascii="Arial" w:hAnsi="Arial" w:cs="Arial"/>
          <w:szCs w:val="24"/>
        </w:rPr>
        <w:t>t</w:t>
      </w:r>
      <w:r>
        <w:rPr>
          <w:rFonts w:ascii="Arial" w:hAnsi="Arial" w:cs="Arial"/>
          <w:szCs w:val="24"/>
        </w:rPr>
        <w:t>o implement strategies from Metro’s SaFE Reform Initiative.</w:t>
      </w:r>
      <w:r w:rsidR="007C08DC">
        <w:rPr>
          <w:rStyle w:val="FootnoteReference"/>
          <w:rFonts w:ascii="Arial" w:hAnsi="Arial" w:cs="Arial"/>
        </w:rPr>
        <w:footnoteReference w:id="25"/>
      </w:r>
      <w:r>
        <w:rPr>
          <w:rFonts w:ascii="Arial" w:hAnsi="Arial" w:cs="Arial"/>
          <w:szCs w:val="24"/>
        </w:rPr>
        <w:t xml:space="preserve"> </w:t>
      </w:r>
      <w:r w:rsidR="007C08DC">
        <w:rPr>
          <w:rFonts w:ascii="Arial" w:hAnsi="Arial" w:cs="Arial"/>
          <w:szCs w:val="24"/>
        </w:rPr>
        <w:t xml:space="preserve">Programs to be funded include </w:t>
      </w:r>
      <w:r w:rsidR="00C64CBA">
        <w:rPr>
          <w:rFonts w:ascii="Arial" w:hAnsi="Arial" w:cs="Arial"/>
          <w:szCs w:val="24"/>
        </w:rPr>
        <w:t>a fare enforcement replacement pilot</w:t>
      </w:r>
      <w:r w:rsidR="00254642">
        <w:rPr>
          <w:rFonts w:ascii="Arial" w:hAnsi="Arial" w:cs="Arial"/>
          <w:szCs w:val="24"/>
        </w:rPr>
        <w:t xml:space="preserve">, social service partnerships to pilot new methods of safety and security operations, </w:t>
      </w:r>
      <w:r w:rsidR="00C056AB">
        <w:rPr>
          <w:rFonts w:ascii="Arial" w:hAnsi="Arial" w:cs="Arial"/>
          <w:szCs w:val="24"/>
        </w:rPr>
        <w:t xml:space="preserve">development of an </w:t>
      </w:r>
      <w:r w:rsidR="00EE3D2C">
        <w:rPr>
          <w:rFonts w:ascii="Arial" w:hAnsi="Arial" w:cs="Arial"/>
          <w:szCs w:val="24"/>
        </w:rPr>
        <w:t>alternative</w:t>
      </w:r>
      <w:r w:rsidR="00C056AB">
        <w:rPr>
          <w:rFonts w:ascii="Arial" w:hAnsi="Arial" w:cs="Arial"/>
          <w:szCs w:val="24"/>
        </w:rPr>
        <w:t xml:space="preserve"> enforcement approach to minor code of conduct violations, development of a de-escalation curriculum, design changes to transit stops</w:t>
      </w:r>
      <w:r w:rsidR="00EE3D2C">
        <w:rPr>
          <w:rFonts w:ascii="Arial" w:hAnsi="Arial" w:cs="Arial"/>
          <w:szCs w:val="24"/>
        </w:rPr>
        <w:t>, activation of transit centers, and a communication platform for non-emergency feedback</w:t>
      </w:r>
      <w:r w:rsidR="007C08DC">
        <w:rPr>
          <w:rFonts w:ascii="Arial" w:hAnsi="Arial" w:cs="Arial"/>
          <w:szCs w:val="24"/>
        </w:rPr>
        <w:t>.</w:t>
      </w:r>
    </w:p>
    <w:p w14:paraId="24F14BAA" w14:textId="6AAC53A2" w:rsidR="007C08DC" w:rsidRPr="007C08DC" w:rsidRDefault="007C08DC" w:rsidP="007C08DC">
      <w:pPr>
        <w:pStyle w:val="ListParagraph"/>
        <w:spacing w:line="264" w:lineRule="auto"/>
        <w:jc w:val="both"/>
        <w:rPr>
          <w:rFonts w:ascii="Arial" w:hAnsi="Arial" w:cs="Arial"/>
          <w:szCs w:val="24"/>
        </w:rPr>
      </w:pPr>
    </w:p>
    <w:p w14:paraId="1D05F6E4" w14:textId="7410C1F3" w:rsidR="007C08DC" w:rsidRDefault="00DB4852" w:rsidP="001A010E">
      <w:pPr>
        <w:pStyle w:val="ListParagraph"/>
        <w:numPr>
          <w:ilvl w:val="0"/>
          <w:numId w:val="12"/>
        </w:numPr>
        <w:spacing w:line="264" w:lineRule="auto"/>
        <w:jc w:val="both"/>
        <w:rPr>
          <w:rFonts w:ascii="Arial" w:hAnsi="Arial" w:cs="Arial"/>
          <w:szCs w:val="24"/>
        </w:rPr>
      </w:pPr>
      <w:r>
        <w:rPr>
          <w:rFonts w:ascii="Arial" w:hAnsi="Arial" w:cs="Arial"/>
          <w:b/>
          <w:bCs/>
          <w:szCs w:val="24"/>
        </w:rPr>
        <w:lastRenderedPageBreak/>
        <w:t xml:space="preserve">Administrative and facility resources for Metro Transit Police. </w:t>
      </w:r>
      <w:r>
        <w:rPr>
          <w:rFonts w:ascii="Arial" w:hAnsi="Arial" w:cs="Arial"/>
          <w:szCs w:val="24"/>
        </w:rPr>
        <w:t xml:space="preserve">The proposed budget includes </w:t>
      </w:r>
      <w:r w:rsidR="001A393E">
        <w:rPr>
          <w:rFonts w:ascii="Arial" w:hAnsi="Arial" w:cs="Arial"/>
          <w:szCs w:val="24"/>
        </w:rPr>
        <w:t>$539,000 to support the conversion of four deputies to Master Police Office</w:t>
      </w:r>
      <w:r w:rsidR="0051420D">
        <w:rPr>
          <w:rFonts w:ascii="Arial" w:hAnsi="Arial" w:cs="Arial"/>
          <w:szCs w:val="24"/>
        </w:rPr>
        <w:t>r</w:t>
      </w:r>
      <w:r w:rsidR="001A393E">
        <w:rPr>
          <w:rFonts w:ascii="Arial" w:hAnsi="Arial" w:cs="Arial"/>
          <w:szCs w:val="24"/>
        </w:rPr>
        <w:t>s and</w:t>
      </w:r>
      <w:r w:rsidR="002A0011">
        <w:rPr>
          <w:rFonts w:ascii="Arial" w:hAnsi="Arial" w:cs="Arial"/>
          <w:szCs w:val="24"/>
        </w:rPr>
        <w:t xml:space="preserve"> add</w:t>
      </w:r>
      <w:r w:rsidR="001A393E">
        <w:rPr>
          <w:rFonts w:ascii="Arial" w:hAnsi="Arial" w:cs="Arial"/>
          <w:szCs w:val="24"/>
        </w:rPr>
        <w:t xml:space="preserve"> two administrative staff from the King County Sheriff’s Office. </w:t>
      </w:r>
      <w:r w:rsidR="0051420D">
        <w:rPr>
          <w:rFonts w:ascii="Arial" w:hAnsi="Arial" w:cs="Arial"/>
          <w:szCs w:val="24"/>
        </w:rPr>
        <w:t>The Master Police Officers would provide training and supervision</w:t>
      </w:r>
      <w:r w:rsidR="00515543">
        <w:rPr>
          <w:rFonts w:ascii="Arial" w:hAnsi="Arial" w:cs="Arial"/>
          <w:szCs w:val="24"/>
        </w:rPr>
        <w:t xml:space="preserve"> for new recruits and newly trained deputies, while the administrative staff would allow the Metro Transit Police office to be open to the public during all business hours.</w:t>
      </w:r>
    </w:p>
    <w:p w14:paraId="5F42CC47" w14:textId="77777777" w:rsidR="00506D9A" w:rsidRPr="00506D9A" w:rsidRDefault="00506D9A" w:rsidP="00506D9A">
      <w:pPr>
        <w:pStyle w:val="ListParagraph"/>
        <w:rPr>
          <w:rFonts w:ascii="Arial" w:hAnsi="Arial" w:cs="Arial"/>
          <w:szCs w:val="24"/>
        </w:rPr>
      </w:pPr>
    </w:p>
    <w:p w14:paraId="22101D5A" w14:textId="5E26D42D" w:rsidR="00506D9A" w:rsidRPr="001A010E" w:rsidRDefault="008C783E" w:rsidP="001A010E">
      <w:pPr>
        <w:pStyle w:val="ListParagraph"/>
        <w:numPr>
          <w:ilvl w:val="0"/>
          <w:numId w:val="12"/>
        </w:numPr>
        <w:spacing w:line="264" w:lineRule="auto"/>
        <w:jc w:val="both"/>
        <w:rPr>
          <w:rFonts w:ascii="Arial" w:hAnsi="Arial" w:cs="Arial"/>
          <w:szCs w:val="24"/>
        </w:rPr>
      </w:pPr>
      <w:r w:rsidRPr="00674B00">
        <w:rPr>
          <w:rFonts w:ascii="Arial" w:hAnsi="Arial" w:cs="Arial"/>
          <w:b/>
          <w:bCs/>
          <w:szCs w:val="24"/>
        </w:rPr>
        <w:t>Additional transit security officers.</w:t>
      </w:r>
      <w:r>
        <w:rPr>
          <w:rFonts w:ascii="Arial" w:hAnsi="Arial" w:cs="Arial"/>
          <w:szCs w:val="24"/>
        </w:rPr>
        <w:t xml:space="preserve"> </w:t>
      </w:r>
      <w:r w:rsidR="002A0011">
        <w:rPr>
          <w:rFonts w:ascii="Arial" w:hAnsi="Arial" w:cs="Arial"/>
          <w:szCs w:val="24"/>
        </w:rPr>
        <w:t>The proposed budget adds $21 million</w:t>
      </w:r>
      <w:r w:rsidR="00D854B6">
        <w:rPr>
          <w:rFonts w:ascii="Arial" w:hAnsi="Arial" w:cs="Arial"/>
          <w:szCs w:val="24"/>
        </w:rPr>
        <w:t xml:space="preserve"> and</w:t>
      </w:r>
      <w:r w:rsidR="0091523A">
        <w:rPr>
          <w:rFonts w:ascii="Arial" w:hAnsi="Arial" w:cs="Arial"/>
          <w:szCs w:val="24"/>
        </w:rPr>
        <w:t xml:space="preserve"> 1.0 FTE</w:t>
      </w:r>
      <w:r w:rsidR="002A0011">
        <w:rPr>
          <w:rFonts w:ascii="Arial" w:hAnsi="Arial" w:cs="Arial"/>
          <w:szCs w:val="24"/>
        </w:rPr>
        <w:t xml:space="preserve"> to support the hiring of 140 transit security officers through Metro’s existing contract with </w:t>
      </w:r>
      <w:r w:rsidR="00CA32C5">
        <w:rPr>
          <w:rFonts w:ascii="Arial" w:hAnsi="Arial" w:cs="Arial"/>
          <w:szCs w:val="24"/>
        </w:rPr>
        <w:t xml:space="preserve">Securitas, USA, which currently provides fare enforcement and </w:t>
      </w:r>
      <w:r w:rsidR="00E80D2D">
        <w:rPr>
          <w:rFonts w:ascii="Arial" w:hAnsi="Arial" w:cs="Arial"/>
          <w:szCs w:val="24"/>
        </w:rPr>
        <w:t xml:space="preserve">transit and facility security. Metro states that the new transit security officers </w:t>
      </w:r>
      <w:r w:rsidR="00674B00">
        <w:rPr>
          <w:rFonts w:ascii="Arial" w:hAnsi="Arial" w:cs="Arial"/>
          <w:szCs w:val="24"/>
        </w:rPr>
        <w:t xml:space="preserve">would be deployed based on data </w:t>
      </w:r>
      <w:r w:rsidR="00D07020">
        <w:rPr>
          <w:rFonts w:ascii="Arial" w:hAnsi="Arial" w:cs="Arial"/>
          <w:szCs w:val="24"/>
        </w:rPr>
        <w:t>about</w:t>
      </w:r>
      <w:r w:rsidR="00674B00">
        <w:rPr>
          <w:rFonts w:ascii="Arial" w:hAnsi="Arial" w:cs="Arial"/>
          <w:szCs w:val="24"/>
        </w:rPr>
        <w:t xml:space="preserve"> incident locations.</w:t>
      </w:r>
    </w:p>
    <w:p w14:paraId="5AE08751" w14:textId="3490FACB" w:rsidR="00473E20" w:rsidRPr="00473E20" w:rsidRDefault="00473E20" w:rsidP="008A5CF4">
      <w:pPr>
        <w:spacing w:line="264" w:lineRule="auto"/>
        <w:contextualSpacing/>
        <w:jc w:val="both"/>
        <w:rPr>
          <w:rFonts w:ascii="Arial" w:hAnsi="Arial" w:cs="Arial"/>
          <w:szCs w:val="24"/>
        </w:rPr>
      </w:pPr>
    </w:p>
    <w:p w14:paraId="68B91145" w14:textId="17D1BC86" w:rsidR="00ED311A" w:rsidRDefault="002147A1" w:rsidP="008A5CF4">
      <w:pPr>
        <w:spacing w:line="264" w:lineRule="auto"/>
        <w:contextualSpacing/>
        <w:jc w:val="both"/>
        <w:rPr>
          <w:rFonts w:ascii="Arial" w:hAnsi="Arial" w:cs="Arial"/>
          <w:szCs w:val="24"/>
        </w:rPr>
      </w:pPr>
      <w:r w:rsidRPr="00196357">
        <w:rPr>
          <w:rFonts w:ascii="Arial" w:hAnsi="Arial" w:cs="Arial"/>
          <w:b/>
          <w:bCs/>
          <w:szCs w:val="24"/>
        </w:rPr>
        <w:t>Employee recruitment and retention</w:t>
      </w:r>
      <w:r w:rsidR="00196357" w:rsidRPr="00196357">
        <w:rPr>
          <w:rFonts w:ascii="Arial" w:hAnsi="Arial" w:cs="Arial"/>
          <w:b/>
          <w:bCs/>
          <w:szCs w:val="24"/>
        </w:rPr>
        <w:t>.</w:t>
      </w:r>
      <w:r w:rsidR="00196357">
        <w:rPr>
          <w:rFonts w:ascii="Arial" w:hAnsi="Arial" w:cs="Arial"/>
          <w:b/>
          <w:bCs/>
          <w:szCs w:val="24"/>
        </w:rPr>
        <w:t xml:space="preserve"> </w:t>
      </w:r>
      <w:r w:rsidR="00196357">
        <w:rPr>
          <w:rFonts w:ascii="Arial" w:hAnsi="Arial" w:cs="Arial"/>
          <w:szCs w:val="24"/>
        </w:rPr>
        <w:t xml:space="preserve">Metro has been experiencing ongoing staffing shortages </w:t>
      </w:r>
      <w:r w:rsidR="002B5881">
        <w:rPr>
          <w:rFonts w:ascii="Arial" w:hAnsi="Arial" w:cs="Arial"/>
          <w:szCs w:val="24"/>
        </w:rPr>
        <w:t>(</w:t>
      </w:r>
      <w:r w:rsidR="00196357">
        <w:rPr>
          <w:rFonts w:ascii="Arial" w:hAnsi="Arial" w:cs="Arial"/>
          <w:szCs w:val="24"/>
        </w:rPr>
        <w:t>particularly with bus operators</w:t>
      </w:r>
      <w:r w:rsidR="002B5881">
        <w:rPr>
          <w:rFonts w:ascii="Arial" w:hAnsi="Arial" w:cs="Arial"/>
          <w:szCs w:val="24"/>
        </w:rPr>
        <w:t>)</w:t>
      </w:r>
      <w:r w:rsidR="00196357">
        <w:rPr>
          <w:rFonts w:ascii="Arial" w:hAnsi="Arial" w:cs="Arial"/>
          <w:szCs w:val="24"/>
        </w:rPr>
        <w:t xml:space="preserve"> since the start of the pandemic. Currently, </w:t>
      </w:r>
      <w:r w:rsidR="002B5881">
        <w:rPr>
          <w:rFonts w:ascii="Arial" w:hAnsi="Arial" w:cs="Arial"/>
          <w:szCs w:val="24"/>
        </w:rPr>
        <w:t>Metro has appropriation authority for 2,620 FTE bus operators</w:t>
      </w:r>
      <w:r w:rsidR="00F04928">
        <w:rPr>
          <w:rFonts w:ascii="Arial" w:hAnsi="Arial" w:cs="Arial"/>
          <w:szCs w:val="24"/>
        </w:rPr>
        <w:t xml:space="preserve"> </w:t>
      </w:r>
      <w:r w:rsidR="00D35D7A">
        <w:rPr>
          <w:rFonts w:ascii="Arial" w:hAnsi="Arial" w:cs="Arial"/>
          <w:szCs w:val="24"/>
        </w:rPr>
        <w:t>but</w:t>
      </w:r>
      <w:r w:rsidR="00F04928">
        <w:rPr>
          <w:rFonts w:ascii="Arial" w:hAnsi="Arial" w:cs="Arial"/>
          <w:szCs w:val="24"/>
        </w:rPr>
        <w:t xml:space="preserve"> has 269 FTE open</w:t>
      </w:r>
      <w:r w:rsidR="00EF6676">
        <w:rPr>
          <w:rFonts w:ascii="Arial" w:hAnsi="Arial" w:cs="Arial"/>
          <w:szCs w:val="24"/>
        </w:rPr>
        <w:t>, a vacancy rate of more than 10 percent</w:t>
      </w:r>
      <w:r w:rsidR="00F04928">
        <w:rPr>
          <w:rFonts w:ascii="Arial" w:hAnsi="Arial" w:cs="Arial"/>
          <w:szCs w:val="24"/>
        </w:rPr>
        <w:t xml:space="preserve">. </w:t>
      </w:r>
      <w:r w:rsidR="00CA2E62">
        <w:rPr>
          <w:rFonts w:ascii="Arial" w:hAnsi="Arial" w:cs="Arial"/>
          <w:szCs w:val="24"/>
        </w:rPr>
        <w:t xml:space="preserve">The proposed budget includes </w:t>
      </w:r>
      <w:r w:rsidR="002331E6">
        <w:rPr>
          <w:rFonts w:ascii="Arial" w:hAnsi="Arial" w:cs="Arial"/>
          <w:szCs w:val="24"/>
        </w:rPr>
        <w:t>several</w:t>
      </w:r>
      <w:r w:rsidR="00CA2E62">
        <w:rPr>
          <w:rFonts w:ascii="Arial" w:hAnsi="Arial" w:cs="Arial"/>
          <w:szCs w:val="24"/>
        </w:rPr>
        <w:t xml:space="preserve"> initiatives to support </w:t>
      </w:r>
      <w:r w:rsidR="00934247">
        <w:rPr>
          <w:rFonts w:ascii="Arial" w:hAnsi="Arial" w:cs="Arial"/>
          <w:szCs w:val="24"/>
        </w:rPr>
        <w:t>recruitment</w:t>
      </w:r>
      <w:r w:rsidR="00D35D7A">
        <w:rPr>
          <w:rFonts w:ascii="Arial" w:hAnsi="Arial" w:cs="Arial"/>
          <w:szCs w:val="24"/>
        </w:rPr>
        <w:t>, training, and retention</w:t>
      </w:r>
      <w:r w:rsidR="00934247">
        <w:rPr>
          <w:rFonts w:ascii="Arial" w:hAnsi="Arial" w:cs="Arial"/>
          <w:szCs w:val="24"/>
        </w:rPr>
        <w:t xml:space="preserve">, </w:t>
      </w:r>
      <w:r w:rsidR="006657EB">
        <w:rPr>
          <w:rFonts w:ascii="Arial" w:hAnsi="Arial" w:cs="Arial"/>
          <w:szCs w:val="24"/>
        </w:rPr>
        <w:t>including</w:t>
      </w:r>
      <w:r w:rsidR="00ED311A">
        <w:rPr>
          <w:rFonts w:ascii="Arial" w:hAnsi="Arial" w:cs="Arial"/>
          <w:szCs w:val="24"/>
        </w:rPr>
        <w:t>:</w:t>
      </w:r>
      <w:r w:rsidR="006657EB">
        <w:rPr>
          <w:rFonts w:ascii="Arial" w:hAnsi="Arial" w:cs="Arial"/>
          <w:szCs w:val="24"/>
        </w:rPr>
        <w:t xml:space="preserve"> </w:t>
      </w:r>
    </w:p>
    <w:p w14:paraId="6E3577D6" w14:textId="77777777" w:rsidR="00ED311A" w:rsidRDefault="00ED311A" w:rsidP="008A5CF4">
      <w:pPr>
        <w:spacing w:line="264" w:lineRule="auto"/>
        <w:contextualSpacing/>
        <w:jc w:val="both"/>
        <w:rPr>
          <w:rFonts w:ascii="Arial" w:hAnsi="Arial" w:cs="Arial"/>
          <w:szCs w:val="24"/>
        </w:rPr>
      </w:pPr>
    </w:p>
    <w:p w14:paraId="2A0893BA" w14:textId="36CAB7FC" w:rsidR="00C224BE" w:rsidRPr="003C5555" w:rsidRDefault="00EC5C18" w:rsidP="00C224BE">
      <w:pPr>
        <w:pStyle w:val="ListParagraph"/>
        <w:numPr>
          <w:ilvl w:val="0"/>
          <w:numId w:val="14"/>
        </w:numPr>
        <w:spacing w:line="264" w:lineRule="auto"/>
        <w:jc w:val="both"/>
        <w:rPr>
          <w:rFonts w:ascii="Arial" w:hAnsi="Arial" w:cs="Arial"/>
          <w:szCs w:val="24"/>
        </w:rPr>
      </w:pPr>
      <w:r w:rsidRPr="004C3F05">
        <w:rPr>
          <w:rFonts w:ascii="Arial" w:hAnsi="Arial" w:cs="Arial"/>
          <w:b/>
          <w:bCs/>
          <w:szCs w:val="24"/>
        </w:rPr>
        <w:t>Bus operations training capacity.</w:t>
      </w:r>
      <w:r>
        <w:rPr>
          <w:rFonts w:ascii="Arial" w:hAnsi="Arial" w:cs="Arial"/>
          <w:szCs w:val="24"/>
        </w:rPr>
        <w:t xml:space="preserve"> </w:t>
      </w:r>
      <w:r w:rsidR="00C224BE" w:rsidRPr="003C5555">
        <w:rPr>
          <w:rFonts w:ascii="Arial" w:hAnsi="Arial" w:cs="Arial"/>
          <w:szCs w:val="24"/>
        </w:rPr>
        <w:t xml:space="preserve">The budget includes $3.1 million and 11.0 FTE to increase </w:t>
      </w:r>
      <w:r w:rsidR="004C3F05">
        <w:rPr>
          <w:rFonts w:ascii="Arial" w:hAnsi="Arial" w:cs="Arial"/>
          <w:szCs w:val="24"/>
        </w:rPr>
        <w:t>bus operations supervisory staff and supervisors in training to provide support and training to bus operators and more easily fill vacancies.</w:t>
      </w:r>
    </w:p>
    <w:p w14:paraId="2D905E7A" w14:textId="77777777" w:rsidR="00553EB8" w:rsidRDefault="00553EB8" w:rsidP="00C224BE">
      <w:pPr>
        <w:pStyle w:val="ListParagraph"/>
        <w:spacing w:line="264" w:lineRule="auto"/>
        <w:jc w:val="both"/>
        <w:rPr>
          <w:rFonts w:ascii="Arial" w:hAnsi="Arial" w:cs="Arial"/>
          <w:b/>
          <w:bCs/>
          <w:szCs w:val="24"/>
        </w:rPr>
      </w:pPr>
    </w:p>
    <w:p w14:paraId="67442E4D" w14:textId="6773FFA3" w:rsidR="00305E92" w:rsidRDefault="00FF3754" w:rsidP="00553EB8">
      <w:pPr>
        <w:pStyle w:val="ListParagraph"/>
        <w:numPr>
          <w:ilvl w:val="0"/>
          <w:numId w:val="14"/>
        </w:numPr>
        <w:spacing w:line="264" w:lineRule="auto"/>
        <w:jc w:val="both"/>
        <w:rPr>
          <w:rFonts w:ascii="Arial" w:hAnsi="Arial" w:cs="Arial"/>
          <w:szCs w:val="24"/>
        </w:rPr>
      </w:pPr>
      <w:r w:rsidRPr="00BD104D">
        <w:rPr>
          <w:rFonts w:ascii="Arial" w:hAnsi="Arial" w:cs="Arial"/>
          <w:b/>
          <w:bCs/>
          <w:szCs w:val="24"/>
        </w:rPr>
        <w:t>Resources for recruiting.</w:t>
      </w:r>
      <w:r>
        <w:rPr>
          <w:rFonts w:ascii="Arial" w:hAnsi="Arial" w:cs="Arial"/>
          <w:szCs w:val="24"/>
        </w:rPr>
        <w:t xml:space="preserve"> The proposed budget adds </w:t>
      </w:r>
      <w:r w:rsidR="00186465" w:rsidRPr="003C5555">
        <w:rPr>
          <w:rFonts w:ascii="Arial" w:hAnsi="Arial" w:cs="Arial"/>
          <w:szCs w:val="24"/>
        </w:rPr>
        <w:t>$6.4 million ($2.85 million revenue-backed), 3.0 FTE</w:t>
      </w:r>
      <w:r w:rsidR="002331E6" w:rsidRPr="003C5555">
        <w:rPr>
          <w:rFonts w:ascii="Arial" w:hAnsi="Arial" w:cs="Arial"/>
          <w:szCs w:val="24"/>
        </w:rPr>
        <w:t>,</w:t>
      </w:r>
      <w:r w:rsidR="00186465" w:rsidRPr="003C5555">
        <w:rPr>
          <w:rFonts w:ascii="Arial" w:hAnsi="Arial" w:cs="Arial"/>
          <w:szCs w:val="24"/>
        </w:rPr>
        <w:t xml:space="preserve"> and 17.0 TLT </w:t>
      </w:r>
      <w:r w:rsidR="00BD104D">
        <w:rPr>
          <w:rFonts w:ascii="Arial" w:hAnsi="Arial" w:cs="Arial"/>
          <w:szCs w:val="24"/>
        </w:rPr>
        <w:t>in Employee Services</w:t>
      </w:r>
      <w:r w:rsidR="00553EB8">
        <w:rPr>
          <w:rFonts w:ascii="Arial" w:hAnsi="Arial" w:cs="Arial"/>
          <w:szCs w:val="24"/>
        </w:rPr>
        <w:t xml:space="preserve"> to assist with recruitment</w:t>
      </w:r>
      <w:r w:rsidR="00BD104D">
        <w:rPr>
          <w:rFonts w:ascii="Arial" w:hAnsi="Arial" w:cs="Arial"/>
          <w:szCs w:val="24"/>
        </w:rPr>
        <w:t>, with</w:t>
      </w:r>
      <w:r w:rsidR="008F4CF4" w:rsidRPr="003C5555">
        <w:rPr>
          <w:rFonts w:ascii="Arial" w:hAnsi="Arial" w:cs="Arial"/>
          <w:szCs w:val="24"/>
        </w:rPr>
        <w:t xml:space="preserve"> </w:t>
      </w:r>
      <w:r w:rsidR="00934247" w:rsidRPr="003C5555">
        <w:rPr>
          <w:rFonts w:ascii="Arial" w:hAnsi="Arial" w:cs="Arial"/>
          <w:szCs w:val="24"/>
        </w:rPr>
        <w:t xml:space="preserve">a particular focus on </w:t>
      </w:r>
      <w:r w:rsidR="00BD104D">
        <w:rPr>
          <w:rFonts w:ascii="Arial" w:hAnsi="Arial" w:cs="Arial"/>
          <w:szCs w:val="24"/>
        </w:rPr>
        <w:t xml:space="preserve">recruiting for </w:t>
      </w:r>
      <w:r w:rsidR="00934247" w:rsidRPr="003C5555">
        <w:rPr>
          <w:rFonts w:ascii="Arial" w:hAnsi="Arial" w:cs="Arial"/>
          <w:szCs w:val="24"/>
        </w:rPr>
        <w:t xml:space="preserve">the new positions that will be needed in the Rail Division to support the expansion of Link light rail. </w:t>
      </w:r>
    </w:p>
    <w:p w14:paraId="518AEBF4" w14:textId="77777777" w:rsidR="00305E92" w:rsidRDefault="00305E92" w:rsidP="00305E92">
      <w:pPr>
        <w:pStyle w:val="ListParagraph"/>
        <w:spacing w:line="264" w:lineRule="auto"/>
        <w:jc w:val="both"/>
        <w:rPr>
          <w:rFonts w:ascii="Arial" w:hAnsi="Arial" w:cs="Arial"/>
          <w:szCs w:val="24"/>
        </w:rPr>
      </w:pPr>
    </w:p>
    <w:p w14:paraId="298B7E9A" w14:textId="3E0230B1" w:rsidR="00A435B3" w:rsidRDefault="00A435B3" w:rsidP="003C5555">
      <w:pPr>
        <w:pStyle w:val="ListParagraph"/>
        <w:numPr>
          <w:ilvl w:val="0"/>
          <w:numId w:val="14"/>
        </w:numPr>
        <w:spacing w:line="264" w:lineRule="auto"/>
        <w:jc w:val="both"/>
        <w:rPr>
          <w:rFonts w:ascii="Arial" w:hAnsi="Arial" w:cs="Arial"/>
          <w:szCs w:val="24"/>
        </w:rPr>
      </w:pPr>
      <w:r w:rsidRPr="00C224BE">
        <w:rPr>
          <w:rFonts w:ascii="Arial" w:hAnsi="Arial" w:cs="Arial"/>
          <w:b/>
          <w:bCs/>
          <w:szCs w:val="24"/>
        </w:rPr>
        <w:t>Business transformation.</w:t>
      </w:r>
      <w:r>
        <w:rPr>
          <w:rFonts w:ascii="Arial" w:hAnsi="Arial" w:cs="Arial"/>
          <w:szCs w:val="24"/>
        </w:rPr>
        <w:t xml:space="preserve"> The proposed budget adds $15.3 million and 3.0 TLT</w:t>
      </w:r>
      <w:r w:rsidR="00127035">
        <w:rPr>
          <w:rFonts w:ascii="Arial" w:hAnsi="Arial" w:cs="Arial"/>
          <w:szCs w:val="24"/>
        </w:rPr>
        <w:t xml:space="preserve"> to analyze and develop new processes, tools, and techniques to improve business practices, including improving talent acquisition, capital delivery, and asset management.</w:t>
      </w:r>
    </w:p>
    <w:p w14:paraId="240BC426" w14:textId="7270B214" w:rsidR="002147A1" w:rsidRDefault="002147A1" w:rsidP="008A5CF4">
      <w:pPr>
        <w:spacing w:line="264" w:lineRule="auto"/>
        <w:contextualSpacing/>
        <w:jc w:val="both"/>
        <w:rPr>
          <w:rFonts w:ascii="Arial" w:hAnsi="Arial" w:cs="Arial"/>
          <w:szCs w:val="24"/>
        </w:rPr>
      </w:pPr>
    </w:p>
    <w:p w14:paraId="0C1CE186" w14:textId="3A1B4CCF" w:rsidR="00212D24" w:rsidRPr="00502C56" w:rsidRDefault="00212D24" w:rsidP="00212D24">
      <w:pPr>
        <w:spacing w:line="264" w:lineRule="auto"/>
        <w:contextualSpacing/>
        <w:jc w:val="both"/>
        <w:rPr>
          <w:rFonts w:ascii="Arial" w:hAnsi="Arial" w:cs="Arial"/>
          <w:bCs/>
          <w:szCs w:val="24"/>
        </w:rPr>
      </w:pPr>
      <w:r w:rsidRPr="00F95AD2">
        <w:rPr>
          <w:rFonts w:ascii="Arial" w:hAnsi="Arial" w:cs="Arial"/>
          <w:b/>
          <w:bCs/>
          <w:szCs w:val="24"/>
        </w:rPr>
        <w:t>Link light rail expansion.</w:t>
      </w:r>
      <w:r>
        <w:rPr>
          <w:rFonts w:ascii="Arial" w:hAnsi="Arial" w:cs="Arial"/>
          <w:b/>
          <w:bCs/>
          <w:szCs w:val="24"/>
        </w:rPr>
        <w:t xml:space="preserve"> </w:t>
      </w:r>
      <w:r>
        <w:rPr>
          <w:rFonts w:ascii="Arial" w:hAnsi="Arial" w:cs="Arial"/>
          <w:bCs/>
          <w:szCs w:val="24"/>
        </w:rPr>
        <w:t xml:space="preserve">Even with the delays recently announced by Sound Transit, </w:t>
      </w:r>
      <w:r w:rsidR="00C8781D">
        <w:rPr>
          <w:rFonts w:ascii="Arial" w:hAnsi="Arial" w:cs="Arial"/>
          <w:bCs/>
          <w:szCs w:val="24"/>
        </w:rPr>
        <w:t xml:space="preserve">the 2023-2024 biennium will </w:t>
      </w:r>
      <w:r w:rsidR="00371FA8">
        <w:rPr>
          <w:rFonts w:ascii="Arial" w:hAnsi="Arial" w:cs="Arial"/>
          <w:bCs/>
          <w:szCs w:val="24"/>
        </w:rPr>
        <w:t>feature</w:t>
      </w:r>
      <w:r w:rsidR="00C8781D">
        <w:rPr>
          <w:rFonts w:ascii="Arial" w:hAnsi="Arial" w:cs="Arial"/>
          <w:bCs/>
          <w:szCs w:val="24"/>
        </w:rPr>
        <w:t xml:space="preserve"> significant expansion of </w:t>
      </w:r>
      <w:r>
        <w:rPr>
          <w:rFonts w:ascii="Arial" w:hAnsi="Arial" w:cs="Arial"/>
          <w:bCs/>
          <w:szCs w:val="24"/>
        </w:rPr>
        <w:t>Link light rail, with the anticipated opening of East Link (2 Line)</w:t>
      </w:r>
      <w:r w:rsidR="00105D74">
        <w:rPr>
          <w:rFonts w:ascii="Arial" w:hAnsi="Arial" w:cs="Arial"/>
          <w:bCs/>
          <w:szCs w:val="24"/>
        </w:rPr>
        <w:t xml:space="preserve">, as well as </w:t>
      </w:r>
      <w:r w:rsidR="00371FA8">
        <w:rPr>
          <w:rFonts w:ascii="Arial" w:hAnsi="Arial" w:cs="Arial"/>
          <w:bCs/>
          <w:szCs w:val="24"/>
        </w:rPr>
        <w:t xml:space="preserve">Link </w:t>
      </w:r>
      <w:r>
        <w:rPr>
          <w:rFonts w:ascii="Arial" w:hAnsi="Arial" w:cs="Arial"/>
          <w:bCs/>
          <w:szCs w:val="24"/>
        </w:rPr>
        <w:t xml:space="preserve">extensions to Redmond, Lynnwood, and Federal Way. </w:t>
      </w:r>
      <w:r w:rsidRPr="00502C56">
        <w:rPr>
          <w:rFonts w:ascii="Arial" w:hAnsi="Arial" w:cs="Arial"/>
          <w:bCs/>
          <w:szCs w:val="24"/>
        </w:rPr>
        <w:t>Metro operates Link light rail service under an intergovernmental agreement with Sound Transit,</w:t>
      </w:r>
      <w:r w:rsidRPr="00502C56">
        <w:rPr>
          <w:rStyle w:val="FootnoteReference"/>
          <w:rFonts w:ascii="Arial" w:hAnsi="Arial" w:cs="Arial"/>
          <w:bCs/>
          <w:szCs w:val="24"/>
        </w:rPr>
        <w:footnoteReference w:id="26"/>
      </w:r>
      <w:r w:rsidRPr="00502C56">
        <w:rPr>
          <w:rFonts w:ascii="Arial" w:hAnsi="Arial" w:cs="Arial"/>
          <w:bCs/>
          <w:szCs w:val="24"/>
        </w:rPr>
        <w:t xml:space="preserve"> which covers Metro’s operations and maintenance costs, as well as some overhead expenses. Administrative, maintenance, and operational support for Link expansion during 202</w:t>
      </w:r>
      <w:r>
        <w:rPr>
          <w:rFonts w:ascii="Arial" w:hAnsi="Arial" w:cs="Arial"/>
          <w:bCs/>
          <w:szCs w:val="24"/>
        </w:rPr>
        <w:t>3</w:t>
      </w:r>
      <w:r w:rsidRPr="00502C56">
        <w:rPr>
          <w:rFonts w:ascii="Arial" w:hAnsi="Arial" w:cs="Arial"/>
          <w:bCs/>
          <w:szCs w:val="24"/>
        </w:rPr>
        <w:t>-202</w:t>
      </w:r>
      <w:r>
        <w:rPr>
          <w:rFonts w:ascii="Arial" w:hAnsi="Arial" w:cs="Arial"/>
          <w:bCs/>
          <w:szCs w:val="24"/>
        </w:rPr>
        <w:t>4</w:t>
      </w:r>
      <w:r w:rsidRPr="00502C56">
        <w:rPr>
          <w:rFonts w:ascii="Arial" w:hAnsi="Arial" w:cs="Arial"/>
          <w:bCs/>
          <w:szCs w:val="24"/>
        </w:rPr>
        <w:t xml:space="preserve"> is proposed as an increase of $</w:t>
      </w:r>
      <w:r>
        <w:rPr>
          <w:rFonts w:ascii="Arial" w:hAnsi="Arial" w:cs="Arial"/>
          <w:bCs/>
          <w:szCs w:val="24"/>
        </w:rPr>
        <w:t>87.7</w:t>
      </w:r>
      <w:r w:rsidRPr="00502C56">
        <w:rPr>
          <w:rFonts w:ascii="Arial" w:hAnsi="Arial" w:cs="Arial"/>
          <w:bCs/>
          <w:szCs w:val="24"/>
        </w:rPr>
        <w:t xml:space="preserve"> million</w:t>
      </w:r>
      <w:r>
        <w:rPr>
          <w:rFonts w:ascii="Arial" w:hAnsi="Arial" w:cs="Arial"/>
          <w:bCs/>
          <w:szCs w:val="24"/>
        </w:rPr>
        <w:t>, 368</w:t>
      </w:r>
      <w:r w:rsidRPr="00502C56">
        <w:rPr>
          <w:rFonts w:ascii="Arial" w:hAnsi="Arial" w:cs="Arial"/>
          <w:bCs/>
          <w:szCs w:val="24"/>
        </w:rPr>
        <w:t xml:space="preserve"> FTEs</w:t>
      </w:r>
      <w:r>
        <w:rPr>
          <w:rFonts w:ascii="Arial" w:hAnsi="Arial" w:cs="Arial"/>
          <w:bCs/>
          <w:szCs w:val="24"/>
        </w:rPr>
        <w:t>,</w:t>
      </w:r>
      <w:r w:rsidRPr="00502C56">
        <w:rPr>
          <w:rFonts w:ascii="Arial" w:hAnsi="Arial" w:cs="Arial"/>
          <w:bCs/>
          <w:szCs w:val="24"/>
        </w:rPr>
        <w:t xml:space="preserve"> </w:t>
      </w:r>
      <w:r>
        <w:rPr>
          <w:rFonts w:ascii="Arial" w:hAnsi="Arial" w:cs="Arial"/>
          <w:bCs/>
          <w:szCs w:val="24"/>
        </w:rPr>
        <w:t xml:space="preserve">and 1.0 TLT </w:t>
      </w:r>
      <w:r w:rsidRPr="00502C56">
        <w:rPr>
          <w:rFonts w:ascii="Arial" w:hAnsi="Arial" w:cs="Arial"/>
          <w:bCs/>
          <w:szCs w:val="24"/>
        </w:rPr>
        <w:t>(all revenue-backed).</w:t>
      </w:r>
    </w:p>
    <w:p w14:paraId="4B048993" w14:textId="77777777" w:rsidR="00212D24" w:rsidRPr="00502C56" w:rsidRDefault="00212D24" w:rsidP="00212D24">
      <w:pPr>
        <w:spacing w:line="264" w:lineRule="auto"/>
        <w:contextualSpacing/>
        <w:jc w:val="both"/>
        <w:rPr>
          <w:rFonts w:ascii="Arial" w:hAnsi="Arial" w:cs="Arial"/>
          <w:bCs/>
          <w:szCs w:val="24"/>
        </w:rPr>
      </w:pPr>
    </w:p>
    <w:p w14:paraId="77097057" w14:textId="009F0E70" w:rsidR="002147A1" w:rsidRPr="00DC12E6" w:rsidRDefault="00253B4F" w:rsidP="008A5CF4">
      <w:pPr>
        <w:spacing w:line="264" w:lineRule="auto"/>
        <w:contextualSpacing/>
        <w:jc w:val="both"/>
        <w:rPr>
          <w:rFonts w:ascii="Arial" w:hAnsi="Arial" w:cs="Arial"/>
          <w:szCs w:val="24"/>
        </w:rPr>
      </w:pPr>
      <w:r w:rsidRPr="0041552B">
        <w:rPr>
          <w:rFonts w:ascii="Arial" w:hAnsi="Arial" w:cs="Arial"/>
          <w:b/>
          <w:bCs/>
          <w:szCs w:val="24"/>
        </w:rPr>
        <w:lastRenderedPageBreak/>
        <w:t>Process and system improvements</w:t>
      </w:r>
      <w:r w:rsidR="0041552B">
        <w:rPr>
          <w:rFonts w:ascii="Arial" w:hAnsi="Arial" w:cs="Arial"/>
          <w:b/>
          <w:bCs/>
          <w:szCs w:val="24"/>
        </w:rPr>
        <w:t xml:space="preserve">. </w:t>
      </w:r>
      <w:r w:rsidR="000D5AC3">
        <w:rPr>
          <w:rFonts w:ascii="Arial" w:hAnsi="Arial" w:cs="Arial"/>
          <w:szCs w:val="24"/>
        </w:rPr>
        <w:t xml:space="preserve">The proposed budget includes initiatives to develop efficiencies and process improvements and to improve employee morale. </w:t>
      </w:r>
      <w:r w:rsidR="00B61524">
        <w:rPr>
          <w:rFonts w:ascii="Arial" w:hAnsi="Arial" w:cs="Arial"/>
          <w:szCs w:val="24"/>
        </w:rPr>
        <w:t xml:space="preserve">These include $21 million, 3.0 FTE, and 1.0 TLT to expand staff, training, and investigation resources for Equal Employment Opportunity and Equity, Inclusion, and Belonging programs; </w:t>
      </w:r>
      <w:r w:rsidR="007E43F0">
        <w:rPr>
          <w:rFonts w:ascii="Arial" w:hAnsi="Arial" w:cs="Arial"/>
          <w:szCs w:val="24"/>
        </w:rPr>
        <w:t xml:space="preserve">$702,000 and 5.0 FTE to bring drug and alcohol testing in-house, after a pilot project showed that it saved employees time and increased flexibility; </w:t>
      </w:r>
      <w:r w:rsidR="00BA7415">
        <w:rPr>
          <w:rFonts w:ascii="Arial" w:hAnsi="Arial" w:cs="Arial"/>
          <w:szCs w:val="24"/>
        </w:rPr>
        <w:t xml:space="preserve">$8.7 million, 14.0 FTE, and 3.0 TLT to support Metro’s technology, training, and data needs; </w:t>
      </w:r>
      <w:r w:rsidR="00515320">
        <w:rPr>
          <w:rFonts w:ascii="Arial" w:hAnsi="Arial" w:cs="Arial"/>
          <w:szCs w:val="24"/>
        </w:rPr>
        <w:t>$3.6 million and 13.0 FTE to provide additional financial and administrative support</w:t>
      </w:r>
      <w:r w:rsidR="00E60C58">
        <w:rPr>
          <w:rFonts w:ascii="Arial" w:hAnsi="Arial" w:cs="Arial"/>
          <w:szCs w:val="24"/>
        </w:rPr>
        <w:t xml:space="preserve">; and </w:t>
      </w:r>
      <w:r w:rsidR="007375AE">
        <w:rPr>
          <w:rFonts w:ascii="Arial" w:hAnsi="Arial" w:cs="Arial"/>
          <w:szCs w:val="24"/>
        </w:rPr>
        <w:t>$9 million in reappropriation from 2021-2022 to support the reconfiguration of King Street Center into a hybrid work environment.</w:t>
      </w:r>
      <w:r w:rsidR="00515320">
        <w:rPr>
          <w:rFonts w:ascii="Arial" w:hAnsi="Arial" w:cs="Arial"/>
          <w:szCs w:val="24"/>
        </w:rPr>
        <w:t xml:space="preserve"> </w:t>
      </w:r>
    </w:p>
    <w:p w14:paraId="4BB234F9" w14:textId="77777777" w:rsidR="007375AE" w:rsidRDefault="007375AE" w:rsidP="00E43E8F">
      <w:pPr>
        <w:spacing w:line="264" w:lineRule="auto"/>
        <w:contextualSpacing/>
        <w:jc w:val="both"/>
        <w:rPr>
          <w:rFonts w:ascii="Arial" w:hAnsi="Arial" w:cs="Arial"/>
          <w:b/>
          <w:szCs w:val="24"/>
          <w:u w:val="single"/>
        </w:rPr>
      </w:pPr>
    </w:p>
    <w:p w14:paraId="354278BE" w14:textId="576152CC" w:rsidR="00E43E8F" w:rsidRPr="00502C56" w:rsidRDefault="00E43E8F" w:rsidP="00E43E8F">
      <w:pPr>
        <w:spacing w:line="264" w:lineRule="auto"/>
        <w:contextualSpacing/>
        <w:jc w:val="both"/>
        <w:rPr>
          <w:rFonts w:ascii="Arial" w:hAnsi="Arial" w:cs="Arial"/>
          <w:b/>
          <w:szCs w:val="24"/>
          <w:u w:val="single"/>
        </w:rPr>
      </w:pPr>
      <w:r w:rsidRPr="00502C56">
        <w:rPr>
          <w:rFonts w:ascii="Arial" w:hAnsi="Arial" w:cs="Arial"/>
          <w:b/>
          <w:szCs w:val="24"/>
          <w:u w:val="single"/>
        </w:rPr>
        <w:t>Capital Budget Highlights</w:t>
      </w:r>
    </w:p>
    <w:p w14:paraId="521EF068" w14:textId="77777777" w:rsidR="00E43E8F" w:rsidRPr="00502C56" w:rsidRDefault="00E43E8F" w:rsidP="00E43E8F">
      <w:pPr>
        <w:spacing w:line="264" w:lineRule="auto"/>
        <w:contextualSpacing/>
        <w:jc w:val="both"/>
        <w:rPr>
          <w:rFonts w:ascii="Arial" w:hAnsi="Arial" w:cs="Arial"/>
          <w:szCs w:val="24"/>
        </w:rPr>
      </w:pPr>
    </w:p>
    <w:p w14:paraId="08AF396F" w14:textId="588273CA" w:rsidR="00E43E8F" w:rsidRPr="000F0C22" w:rsidRDefault="00E43E8F" w:rsidP="00AF30CC">
      <w:pPr>
        <w:jc w:val="both"/>
        <w:rPr>
          <w:rFonts w:ascii="Arial" w:hAnsi="Arial" w:cs="Arial"/>
          <w:szCs w:val="24"/>
        </w:rPr>
      </w:pPr>
      <w:r w:rsidRPr="00502C56">
        <w:rPr>
          <w:rFonts w:ascii="Arial" w:hAnsi="Arial" w:cs="Arial"/>
          <w:szCs w:val="24"/>
        </w:rPr>
        <w:t>Metro’s capital budget is organized into two sub-funds:</w:t>
      </w:r>
      <w:r w:rsidR="00AF30CC">
        <w:rPr>
          <w:rFonts w:ascii="Arial" w:hAnsi="Arial" w:cs="Arial"/>
          <w:szCs w:val="24"/>
        </w:rPr>
        <w:t xml:space="preserve"> </w:t>
      </w:r>
      <w:r w:rsidRPr="000F0C22">
        <w:rPr>
          <w:rFonts w:ascii="Arial" w:hAnsi="Arial" w:cs="Arial"/>
          <w:szCs w:val="24"/>
        </w:rPr>
        <w:t>Fund 3641 for Transit Infrastructure, which proposes expenditures of $</w:t>
      </w:r>
      <w:r w:rsidR="000F0C22" w:rsidRPr="000F0C22">
        <w:rPr>
          <w:rFonts w:ascii="Arial" w:hAnsi="Arial" w:cs="Arial"/>
          <w:szCs w:val="24"/>
        </w:rPr>
        <w:t>369</w:t>
      </w:r>
      <w:r w:rsidRPr="000F0C22">
        <w:rPr>
          <w:rFonts w:ascii="Arial" w:hAnsi="Arial" w:cs="Arial"/>
          <w:szCs w:val="24"/>
        </w:rPr>
        <w:t xml:space="preserve"> million for 202</w:t>
      </w:r>
      <w:r w:rsidR="000F0C22" w:rsidRPr="000F0C22">
        <w:rPr>
          <w:rFonts w:ascii="Arial" w:hAnsi="Arial" w:cs="Arial"/>
          <w:szCs w:val="24"/>
        </w:rPr>
        <w:t>3</w:t>
      </w:r>
      <w:r w:rsidRPr="000F0C22">
        <w:rPr>
          <w:rFonts w:ascii="Arial" w:hAnsi="Arial" w:cs="Arial"/>
          <w:szCs w:val="24"/>
        </w:rPr>
        <w:t>-202</w:t>
      </w:r>
      <w:r w:rsidR="000F0C22" w:rsidRPr="000F0C22">
        <w:rPr>
          <w:rFonts w:ascii="Arial" w:hAnsi="Arial" w:cs="Arial"/>
          <w:szCs w:val="24"/>
        </w:rPr>
        <w:t>4</w:t>
      </w:r>
      <w:r w:rsidRPr="000F0C22">
        <w:rPr>
          <w:rFonts w:ascii="Arial" w:hAnsi="Arial" w:cs="Arial"/>
          <w:szCs w:val="24"/>
        </w:rPr>
        <w:t>; and</w:t>
      </w:r>
      <w:r w:rsidR="00AF30CC">
        <w:rPr>
          <w:rFonts w:ascii="Arial" w:hAnsi="Arial" w:cs="Arial"/>
          <w:szCs w:val="24"/>
        </w:rPr>
        <w:t xml:space="preserve"> </w:t>
      </w:r>
      <w:r w:rsidRPr="000F0C22">
        <w:rPr>
          <w:rFonts w:ascii="Arial" w:hAnsi="Arial" w:cs="Arial"/>
          <w:szCs w:val="24"/>
        </w:rPr>
        <w:t xml:space="preserve">Fund 3642 for Revenue Fleet, which proposes </w:t>
      </w:r>
      <w:r w:rsidR="000F0C22" w:rsidRPr="000F0C22">
        <w:rPr>
          <w:rFonts w:ascii="Arial" w:hAnsi="Arial" w:cs="Arial"/>
          <w:szCs w:val="24"/>
        </w:rPr>
        <w:t>expenditures of $234</w:t>
      </w:r>
      <w:r w:rsidRPr="000F0C22">
        <w:rPr>
          <w:rFonts w:ascii="Arial" w:hAnsi="Arial" w:cs="Arial"/>
          <w:szCs w:val="24"/>
        </w:rPr>
        <w:t xml:space="preserve"> million</w:t>
      </w:r>
      <w:r w:rsidR="000F0C22" w:rsidRPr="000F0C22">
        <w:rPr>
          <w:rFonts w:ascii="Arial" w:hAnsi="Arial" w:cs="Arial"/>
          <w:szCs w:val="24"/>
        </w:rPr>
        <w:t xml:space="preserve"> for 2023-2024</w:t>
      </w:r>
      <w:r w:rsidRPr="000F0C22">
        <w:rPr>
          <w:rFonts w:ascii="Arial" w:hAnsi="Arial" w:cs="Arial"/>
          <w:szCs w:val="24"/>
        </w:rPr>
        <w:t>.</w:t>
      </w:r>
      <w:r w:rsidR="00AD3AF0">
        <w:rPr>
          <w:rFonts w:ascii="Arial" w:hAnsi="Arial" w:cs="Arial"/>
          <w:szCs w:val="24"/>
        </w:rPr>
        <w:t xml:space="preserve"> Highlights of the proposed capital budget include:</w:t>
      </w:r>
    </w:p>
    <w:p w14:paraId="39F8EE24" w14:textId="43B0BE1A" w:rsidR="00E43E8F" w:rsidRDefault="00E43E8F" w:rsidP="0064585A">
      <w:pPr>
        <w:spacing w:line="264" w:lineRule="auto"/>
        <w:jc w:val="both"/>
        <w:rPr>
          <w:rFonts w:ascii="Arial" w:hAnsi="Arial" w:cs="Arial"/>
          <w:szCs w:val="24"/>
        </w:rPr>
      </w:pPr>
    </w:p>
    <w:p w14:paraId="6E79C98E" w14:textId="57C043D8" w:rsidR="0064585A" w:rsidRPr="00EE3832" w:rsidRDefault="0064585A" w:rsidP="0064585A">
      <w:pPr>
        <w:spacing w:line="264" w:lineRule="auto"/>
        <w:jc w:val="both"/>
        <w:rPr>
          <w:rFonts w:ascii="Arial" w:hAnsi="Arial" w:cs="Arial"/>
          <w:szCs w:val="24"/>
        </w:rPr>
      </w:pPr>
      <w:r w:rsidRPr="00EE3832">
        <w:rPr>
          <w:rFonts w:ascii="Arial" w:hAnsi="Arial" w:cs="Arial"/>
          <w:b/>
          <w:bCs/>
          <w:szCs w:val="24"/>
        </w:rPr>
        <w:t xml:space="preserve">Capital Division </w:t>
      </w:r>
      <w:r w:rsidR="005651B1">
        <w:rPr>
          <w:rFonts w:ascii="Arial" w:hAnsi="Arial" w:cs="Arial"/>
          <w:b/>
          <w:bCs/>
          <w:szCs w:val="24"/>
        </w:rPr>
        <w:t xml:space="preserve">project </w:t>
      </w:r>
      <w:r w:rsidR="00EE3832" w:rsidRPr="00EE3832">
        <w:rPr>
          <w:rFonts w:ascii="Arial" w:hAnsi="Arial" w:cs="Arial"/>
          <w:b/>
          <w:bCs/>
          <w:szCs w:val="24"/>
        </w:rPr>
        <w:t>support</w:t>
      </w:r>
      <w:r w:rsidR="00EE3832">
        <w:rPr>
          <w:rFonts w:ascii="Arial" w:hAnsi="Arial" w:cs="Arial"/>
          <w:b/>
          <w:bCs/>
          <w:szCs w:val="24"/>
        </w:rPr>
        <w:t xml:space="preserve">. </w:t>
      </w:r>
      <w:r w:rsidR="00EE3832" w:rsidRPr="00EE3832">
        <w:rPr>
          <w:rFonts w:ascii="Arial" w:hAnsi="Arial" w:cs="Arial"/>
          <w:szCs w:val="24"/>
        </w:rPr>
        <w:t xml:space="preserve">The </w:t>
      </w:r>
      <w:r w:rsidR="00EE3832">
        <w:rPr>
          <w:rFonts w:ascii="Arial" w:hAnsi="Arial" w:cs="Arial"/>
          <w:szCs w:val="24"/>
        </w:rPr>
        <w:t xml:space="preserve">2021-2022 budget responded to </w:t>
      </w:r>
      <w:r w:rsidR="00A5054C">
        <w:rPr>
          <w:rFonts w:ascii="Arial" w:hAnsi="Arial" w:cs="Arial"/>
          <w:szCs w:val="24"/>
        </w:rPr>
        <w:t xml:space="preserve">the fiscal challenges of the early pandemic months by deferring or </w:t>
      </w:r>
      <w:r w:rsidR="00332942">
        <w:rPr>
          <w:rFonts w:ascii="Arial" w:hAnsi="Arial" w:cs="Arial"/>
          <w:szCs w:val="24"/>
        </w:rPr>
        <w:t xml:space="preserve">cancelling many planned capital projects. With </w:t>
      </w:r>
      <w:r w:rsidR="00BD1F30">
        <w:rPr>
          <w:rFonts w:ascii="Arial" w:hAnsi="Arial" w:cs="Arial"/>
          <w:szCs w:val="24"/>
        </w:rPr>
        <w:t xml:space="preserve">increased sales tax revenue and federal funding support, Metro is reinitiating </w:t>
      </w:r>
      <w:r w:rsidR="00C7194F">
        <w:rPr>
          <w:rFonts w:ascii="Arial" w:hAnsi="Arial" w:cs="Arial"/>
          <w:szCs w:val="24"/>
        </w:rPr>
        <w:t xml:space="preserve">many of these projects. To support </w:t>
      </w:r>
      <w:r w:rsidR="007C339E">
        <w:rPr>
          <w:rFonts w:ascii="Arial" w:hAnsi="Arial" w:cs="Arial"/>
          <w:szCs w:val="24"/>
        </w:rPr>
        <w:t xml:space="preserve">these investments, the proposed budget adds 20.0 FTE to support capital projects (funded through the capital project budgets). In addition, Metro </w:t>
      </w:r>
      <w:r w:rsidR="0062763D">
        <w:rPr>
          <w:rFonts w:ascii="Arial" w:hAnsi="Arial" w:cs="Arial"/>
          <w:szCs w:val="24"/>
        </w:rPr>
        <w:t xml:space="preserve">proposes to </w:t>
      </w:r>
      <w:r w:rsidR="00E71134">
        <w:rPr>
          <w:rFonts w:ascii="Arial" w:hAnsi="Arial" w:cs="Arial"/>
          <w:szCs w:val="24"/>
        </w:rPr>
        <w:t>spend</w:t>
      </w:r>
      <w:r w:rsidR="0062763D">
        <w:rPr>
          <w:rFonts w:ascii="Arial" w:hAnsi="Arial" w:cs="Arial"/>
          <w:szCs w:val="24"/>
        </w:rPr>
        <w:t xml:space="preserve">$475,000 </w:t>
      </w:r>
      <w:r w:rsidR="00E71134">
        <w:rPr>
          <w:rFonts w:ascii="Arial" w:hAnsi="Arial" w:cs="Arial"/>
          <w:szCs w:val="24"/>
        </w:rPr>
        <w:t>on</w:t>
      </w:r>
      <w:r w:rsidR="00FE1E3B">
        <w:rPr>
          <w:rFonts w:ascii="Arial" w:hAnsi="Arial" w:cs="Arial"/>
          <w:szCs w:val="24"/>
        </w:rPr>
        <w:t xml:space="preserve"> the cost of </w:t>
      </w:r>
      <w:r w:rsidR="0062763D">
        <w:rPr>
          <w:rFonts w:ascii="Arial" w:hAnsi="Arial" w:cs="Arial"/>
          <w:szCs w:val="24"/>
        </w:rPr>
        <w:t>a capital management training program DNRP is developing</w:t>
      </w:r>
      <w:r w:rsidR="00FE1E3B">
        <w:rPr>
          <w:rFonts w:ascii="Arial" w:hAnsi="Arial" w:cs="Arial"/>
          <w:szCs w:val="24"/>
        </w:rPr>
        <w:t xml:space="preserve"> for County capital project staff</w:t>
      </w:r>
      <w:r w:rsidR="0062763D">
        <w:rPr>
          <w:rFonts w:ascii="Arial" w:hAnsi="Arial" w:cs="Arial"/>
          <w:szCs w:val="24"/>
        </w:rPr>
        <w:t>.</w:t>
      </w:r>
    </w:p>
    <w:p w14:paraId="7964E7A6" w14:textId="2F17B2DB" w:rsidR="0064585A" w:rsidRDefault="0064585A" w:rsidP="0064585A">
      <w:pPr>
        <w:spacing w:line="264" w:lineRule="auto"/>
        <w:jc w:val="both"/>
        <w:rPr>
          <w:rFonts w:ascii="Arial" w:hAnsi="Arial" w:cs="Arial"/>
          <w:szCs w:val="24"/>
        </w:rPr>
      </w:pPr>
    </w:p>
    <w:p w14:paraId="4288553A" w14:textId="33AE0405" w:rsidR="00B73B36" w:rsidRDefault="00274647" w:rsidP="00B73B36">
      <w:pPr>
        <w:spacing w:line="264" w:lineRule="auto"/>
        <w:jc w:val="both"/>
        <w:rPr>
          <w:rFonts w:ascii="Arial" w:hAnsi="Arial" w:cs="Arial"/>
          <w:szCs w:val="24"/>
        </w:rPr>
      </w:pPr>
      <w:r w:rsidRPr="00F604D6">
        <w:rPr>
          <w:rFonts w:ascii="Arial" w:hAnsi="Arial" w:cs="Arial"/>
          <w:b/>
          <w:bCs/>
          <w:szCs w:val="24"/>
        </w:rPr>
        <w:t>Electrification</w:t>
      </w:r>
      <w:r w:rsidR="00F604D6" w:rsidRPr="00F604D6">
        <w:rPr>
          <w:rFonts w:ascii="Arial" w:hAnsi="Arial" w:cs="Arial"/>
          <w:b/>
          <w:bCs/>
          <w:szCs w:val="24"/>
        </w:rPr>
        <w:t xml:space="preserve">. </w:t>
      </w:r>
      <w:r w:rsidR="00B73B36" w:rsidRPr="00F604D6">
        <w:rPr>
          <w:rFonts w:ascii="Arial" w:hAnsi="Arial" w:cs="Arial"/>
          <w:szCs w:val="24"/>
        </w:rPr>
        <w:t>I</w:t>
      </w:r>
      <w:r w:rsidR="00B73B36">
        <w:rPr>
          <w:rFonts w:ascii="Arial" w:hAnsi="Arial" w:cs="Arial"/>
          <w:szCs w:val="24"/>
        </w:rPr>
        <w:t xml:space="preserve">n </w:t>
      </w:r>
      <w:r w:rsidR="0067513E">
        <w:rPr>
          <w:rFonts w:ascii="Arial" w:hAnsi="Arial" w:cs="Arial"/>
          <w:szCs w:val="24"/>
        </w:rPr>
        <w:t xml:space="preserve">early </w:t>
      </w:r>
      <w:r w:rsidR="00B73B36">
        <w:rPr>
          <w:rFonts w:ascii="Arial" w:hAnsi="Arial" w:cs="Arial"/>
          <w:szCs w:val="24"/>
        </w:rPr>
        <w:t>2020 the Council adopted the goal of transitioning to a zero-emission revenue bus fleet by 2035.</w:t>
      </w:r>
      <w:r w:rsidR="00B73B36">
        <w:rPr>
          <w:rStyle w:val="FootnoteReference"/>
          <w:rFonts w:ascii="Arial" w:hAnsi="Arial" w:cs="Arial"/>
          <w:szCs w:val="24"/>
        </w:rPr>
        <w:footnoteReference w:id="27"/>
      </w:r>
      <w:r w:rsidR="00B73B36">
        <w:rPr>
          <w:rFonts w:ascii="Arial" w:hAnsi="Arial" w:cs="Arial"/>
          <w:szCs w:val="24"/>
        </w:rPr>
        <w:t xml:space="preserve"> In response, the 2023-2024 biennial budget proposes $1.3 million in the operating budget and $248.</w:t>
      </w:r>
      <w:r w:rsidR="0078543B">
        <w:rPr>
          <w:rFonts w:ascii="Arial" w:hAnsi="Arial" w:cs="Arial"/>
          <w:szCs w:val="24"/>
        </w:rPr>
        <w:t>5</w:t>
      </w:r>
      <w:r w:rsidR="00B73B36">
        <w:rPr>
          <w:rFonts w:ascii="Arial" w:hAnsi="Arial" w:cs="Arial"/>
          <w:szCs w:val="24"/>
        </w:rPr>
        <w:t xml:space="preserve"> million in the capital budget to </w:t>
      </w:r>
      <w:r w:rsidR="003E798B">
        <w:rPr>
          <w:rFonts w:ascii="Arial" w:hAnsi="Arial" w:cs="Arial"/>
          <w:szCs w:val="24"/>
        </w:rPr>
        <w:t>continue the work of implementing</w:t>
      </w:r>
      <w:r w:rsidR="00B73B36">
        <w:rPr>
          <w:rFonts w:ascii="Arial" w:hAnsi="Arial" w:cs="Arial"/>
          <w:szCs w:val="24"/>
        </w:rPr>
        <w:t xml:space="preserve"> that transition. </w:t>
      </w:r>
    </w:p>
    <w:p w14:paraId="70EEF679" w14:textId="77777777" w:rsidR="00B73B36" w:rsidRDefault="00B73B36" w:rsidP="00B73B36">
      <w:pPr>
        <w:spacing w:line="264" w:lineRule="auto"/>
        <w:contextualSpacing/>
        <w:jc w:val="both"/>
        <w:rPr>
          <w:rFonts w:ascii="Arial" w:hAnsi="Arial" w:cs="Arial"/>
          <w:szCs w:val="24"/>
        </w:rPr>
      </w:pPr>
    </w:p>
    <w:p w14:paraId="178DCBB8" w14:textId="05F78FE9" w:rsidR="00B73B36" w:rsidRDefault="00B73B36" w:rsidP="00B73B36">
      <w:pPr>
        <w:spacing w:line="264" w:lineRule="auto"/>
        <w:contextualSpacing/>
        <w:jc w:val="both"/>
        <w:rPr>
          <w:rFonts w:ascii="Arial" w:hAnsi="Arial" w:cs="Arial"/>
          <w:szCs w:val="24"/>
        </w:rPr>
      </w:pPr>
      <w:r>
        <w:rPr>
          <w:rFonts w:ascii="Arial" w:hAnsi="Arial" w:cs="Arial"/>
          <w:szCs w:val="24"/>
        </w:rPr>
        <w:t xml:space="preserve">While Metro’s last several biennial budgets have included significant investments in electrification, </w:t>
      </w:r>
      <w:r w:rsidR="00242A3D">
        <w:rPr>
          <w:rFonts w:ascii="Arial" w:hAnsi="Arial" w:cs="Arial"/>
          <w:szCs w:val="24"/>
        </w:rPr>
        <w:t xml:space="preserve">including the purchase of 40 battery-electric buses and the </w:t>
      </w:r>
      <w:r w:rsidR="00F604D6">
        <w:rPr>
          <w:rFonts w:ascii="Arial" w:hAnsi="Arial" w:cs="Arial"/>
          <w:szCs w:val="24"/>
        </w:rPr>
        <w:t>development</w:t>
      </w:r>
      <w:r w:rsidR="00242A3D">
        <w:rPr>
          <w:rFonts w:ascii="Arial" w:hAnsi="Arial" w:cs="Arial"/>
          <w:szCs w:val="24"/>
        </w:rPr>
        <w:t xml:space="preserve"> of the South Base test charging facility, </w:t>
      </w:r>
      <w:r>
        <w:rPr>
          <w:rFonts w:ascii="Arial" w:hAnsi="Arial" w:cs="Arial"/>
          <w:szCs w:val="24"/>
        </w:rPr>
        <w:t xml:space="preserve">the 2023-2024 budget is the first to move </w:t>
      </w:r>
      <w:r w:rsidR="007B489C">
        <w:rPr>
          <w:rFonts w:ascii="Arial" w:hAnsi="Arial" w:cs="Arial"/>
          <w:szCs w:val="24"/>
        </w:rPr>
        <w:t xml:space="preserve">substantially </w:t>
      </w:r>
      <w:r>
        <w:rPr>
          <w:rFonts w:ascii="Arial" w:hAnsi="Arial" w:cs="Arial"/>
          <w:szCs w:val="24"/>
        </w:rPr>
        <w:t xml:space="preserve">beyond the pilot phase. Rather than purchasing small numbers of battery electric buses to test, the 2023-2024 budget would </w:t>
      </w:r>
      <w:r w:rsidR="00254CA0">
        <w:rPr>
          <w:rFonts w:ascii="Arial" w:hAnsi="Arial" w:cs="Arial"/>
          <w:szCs w:val="24"/>
        </w:rPr>
        <w:t>appropriate fund</w:t>
      </w:r>
      <w:r w:rsidR="0086776E">
        <w:rPr>
          <w:rFonts w:ascii="Arial" w:hAnsi="Arial" w:cs="Arial"/>
          <w:szCs w:val="24"/>
        </w:rPr>
        <w:t>ing</w:t>
      </w:r>
      <w:r w:rsidR="00254CA0">
        <w:rPr>
          <w:rFonts w:ascii="Arial" w:hAnsi="Arial" w:cs="Arial"/>
          <w:szCs w:val="24"/>
        </w:rPr>
        <w:t xml:space="preserve"> to </w:t>
      </w:r>
      <w:r>
        <w:rPr>
          <w:rFonts w:ascii="Arial" w:hAnsi="Arial" w:cs="Arial"/>
          <w:szCs w:val="24"/>
        </w:rPr>
        <w:t xml:space="preserve">purchase 120 battery electric buses, two 150-passenger battery electric water taxi vessels, </w:t>
      </w:r>
      <w:r w:rsidR="00617CBC">
        <w:rPr>
          <w:rFonts w:ascii="Arial" w:hAnsi="Arial" w:cs="Arial"/>
          <w:szCs w:val="24"/>
        </w:rPr>
        <w:t xml:space="preserve">and </w:t>
      </w:r>
      <w:r w:rsidR="00E87F2A">
        <w:rPr>
          <w:rFonts w:ascii="Arial" w:hAnsi="Arial" w:cs="Arial"/>
          <w:szCs w:val="24"/>
        </w:rPr>
        <w:t>19 paratransit battery electric minibuses</w:t>
      </w:r>
      <w:r w:rsidR="00D14958">
        <w:rPr>
          <w:rFonts w:ascii="Arial" w:hAnsi="Arial" w:cs="Arial"/>
          <w:szCs w:val="24"/>
        </w:rPr>
        <w:t xml:space="preserve">. It would </w:t>
      </w:r>
      <w:r w:rsidR="004F23D4">
        <w:rPr>
          <w:rFonts w:ascii="Arial" w:hAnsi="Arial" w:cs="Arial"/>
          <w:szCs w:val="24"/>
        </w:rPr>
        <w:t>also</w:t>
      </w:r>
      <w:r>
        <w:rPr>
          <w:rFonts w:ascii="Arial" w:hAnsi="Arial" w:cs="Arial"/>
          <w:szCs w:val="24"/>
        </w:rPr>
        <w:t xml:space="preserve"> </w:t>
      </w:r>
      <w:r w:rsidR="005D1A2E">
        <w:rPr>
          <w:rFonts w:ascii="Arial" w:hAnsi="Arial" w:cs="Arial"/>
          <w:szCs w:val="24"/>
        </w:rPr>
        <w:t xml:space="preserve">invest in technical applications to manage battery-electric bus charging and dispatch and </w:t>
      </w:r>
      <w:r w:rsidR="00BA42AE">
        <w:rPr>
          <w:rFonts w:ascii="Arial" w:hAnsi="Arial" w:cs="Arial"/>
          <w:szCs w:val="24"/>
        </w:rPr>
        <w:t xml:space="preserve">would </w:t>
      </w:r>
      <w:r w:rsidR="00D14958">
        <w:rPr>
          <w:rFonts w:ascii="Arial" w:hAnsi="Arial" w:cs="Arial"/>
          <w:szCs w:val="24"/>
        </w:rPr>
        <w:t xml:space="preserve">continue </w:t>
      </w:r>
      <w:r>
        <w:rPr>
          <w:rFonts w:ascii="Arial" w:hAnsi="Arial" w:cs="Arial"/>
          <w:szCs w:val="24"/>
        </w:rPr>
        <w:t xml:space="preserve">the </w:t>
      </w:r>
      <w:r w:rsidR="005B72AB">
        <w:rPr>
          <w:rFonts w:ascii="Arial" w:hAnsi="Arial" w:cs="Arial"/>
          <w:szCs w:val="24"/>
        </w:rPr>
        <w:t>work</w:t>
      </w:r>
      <w:r>
        <w:rPr>
          <w:rFonts w:ascii="Arial" w:hAnsi="Arial" w:cs="Arial"/>
          <w:szCs w:val="24"/>
        </w:rPr>
        <w:t xml:space="preserve"> of converting each of Metro’s bases </w:t>
      </w:r>
      <w:r w:rsidR="000A5AF3">
        <w:rPr>
          <w:rFonts w:ascii="Arial" w:hAnsi="Arial" w:cs="Arial"/>
          <w:szCs w:val="24"/>
        </w:rPr>
        <w:t>with</w:t>
      </w:r>
      <w:r>
        <w:rPr>
          <w:rFonts w:ascii="Arial" w:hAnsi="Arial" w:cs="Arial"/>
          <w:szCs w:val="24"/>
        </w:rPr>
        <w:t xml:space="preserve"> electric</w:t>
      </w:r>
      <w:r w:rsidR="000A5AF3">
        <w:rPr>
          <w:rFonts w:ascii="Arial" w:hAnsi="Arial" w:cs="Arial"/>
          <w:szCs w:val="24"/>
        </w:rPr>
        <w:t xml:space="preserve"> charging infrastructure</w:t>
      </w:r>
      <w:r>
        <w:rPr>
          <w:rFonts w:ascii="Arial" w:hAnsi="Arial" w:cs="Arial"/>
          <w:szCs w:val="24"/>
        </w:rPr>
        <w:t xml:space="preserve">, a process that will involve the rolling closure and reopening of each base between 2025 and 2036. </w:t>
      </w:r>
    </w:p>
    <w:p w14:paraId="35CD10C9" w14:textId="77777777" w:rsidR="00B73B36" w:rsidRDefault="00B73B36" w:rsidP="00B73B36">
      <w:pPr>
        <w:spacing w:line="264" w:lineRule="auto"/>
        <w:contextualSpacing/>
        <w:jc w:val="both"/>
        <w:rPr>
          <w:rFonts w:ascii="Arial" w:hAnsi="Arial" w:cs="Arial"/>
          <w:szCs w:val="24"/>
        </w:rPr>
      </w:pPr>
    </w:p>
    <w:p w14:paraId="0813C17D" w14:textId="1EB995BD" w:rsidR="00B73B36" w:rsidRDefault="005B72AB" w:rsidP="00C72B44">
      <w:pPr>
        <w:spacing w:line="264" w:lineRule="auto"/>
        <w:jc w:val="both"/>
        <w:rPr>
          <w:rFonts w:ascii="Arial" w:hAnsi="Arial" w:cs="Arial"/>
          <w:szCs w:val="24"/>
        </w:rPr>
      </w:pPr>
      <w:r w:rsidRPr="00E06BA6">
        <w:rPr>
          <w:rFonts w:ascii="Arial" w:hAnsi="Arial" w:cs="Arial"/>
          <w:szCs w:val="24"/>
        </w:rPr>
        <w:lastRenderedPageBreak/>
        <w:t xml:space="preserve">Table </w:t>
      </w:r>
      <w:r w:rsidR="00E06BA6" w:rsidRPr="00E06BA6">
        <w:rPr>
          <w:rFonts w:ascii="Arial" w:hAnsi="Arial" w:cs="Arial"/>
          <w:szCs w:val="24"/>
        </w:rPr>
        <w:t>4</w:t>
      </w:r>
      <w:r w:rsidRPr="00E06BA6">
        <w:rPr>
          <w:rFonts w:ascii="Arial" w:hAnsi="Arial" w:cs="Arial"/>
          <w:szCs w:val="24"/>
        </w:rPr>
        <w:t xml:space="preserve"> shows</w:t>
      </w:r>
      <w:r>
        <w:rPr>
          <w:rFonts w:ascii="Arial" w:hAnsi="Arial" w:cs="Arial"/>
          <w:szCs w:val="24"/>
        </w:rPr>
        <w:t xml:space="preserve"> the non-trolley electrification projects proposed in the 2023-2024 capital budget</w:t>
      </w:r>
      <w:r w:rsidR="00610BD9">
        <w:rPr>
          <w:rFonts w:ascii="Arial" w:hAnsi="Arial" w:cs="Arial"/>
          <w:szCs w:val="24"/>
        </w:rPr>
        <w:t xml:space="preserve">. The list includes several base conversion projects that are not budgeted for this biennium but are anticipated for </w:t>
      </w:r>
      <w:r w:rsidR="00C44C89">
        <w:rPr>
          <w:rFonts w:ascii="Arial" w:hAnsi="Arial" w:cs="Arial"/>
          <w:szCs w:val="24"/>
        </w:rPr>
        <w:t>funding</w:t>
      </w:r>
      <w:r w:rsidR="00610BD9">
        <w:rPr>
          <w:rFonts w:ascii="Arial" w:hAnsi="Arial" w:cs="Arial"/>
          <w:szCs w:val="24"/>
        </w:rPr>
        <w:t xml:space="preserve"> </w:t>
      </w:r>
      <w:r w:rsidR="006A60C7">
        <w:rPr>
          <w:rFonts w:ascii="Arial" w:hAnsi="Arial" w:cs="Arial"/>
          <w:szCs w:val="24"/>
        </w:rPr>
        <w:t xml:space="preserve">requests </w:t>
      </w:r>
      <w:r w:rsidR="00C44C89">
        <w:rPr>
          <w:rFonts w:ascii="Arial" w:hAnsi="Arial" w:cs="Arial"/>
          <w:szCs w:val="24"/>
        </w:rPr>
        <w:t>by 2028</w:t>
      </w:r>
      <w:r w:rsidR="00610BD9">
        <w:rPr>
          <w:rFonts w:ascii="Arial" w:hAnsi="Arial" w:cs="Arial"/>
          <w:szCs w:val="24"/>
        </w:rPr>
        <w:t xml:space="preserve">. </w:t>
      </w:r>
    </w:p>
    <w:p w14:paraId="02D19F04" w14:textId="3ECE0FB4" w:rsidR="00610BD9" w:rsidRDefault="00610BD9" w:rsidP="00C72B44">
      <w:pPr>
        <w:spacing w:line="264" w:lineRule="auto"/>
        <w:jc w:val="both"/>
        <w:rPr>
          <w:rFonts w:ascii="Arial" w:hAnsi="Arial" w:cs="Arial"/>
          <w:szCs w:val="24"/>
        </w:rPr>
      </w:pPr>
    </w:p>
    <w:p w14:paraId="1C1DA670" w14:textId="6248A533" w:rsidR="003C2C25" w:rsidRDefault="00610BD9" w:rsidP="00746A73">
      <w:pPr>
        <w:keepNext/>
        <w:spacing w:line="264" w:lineRule="auto"/>
        <w:jc w:val="center"/>
        <w:rPr>
          <w:rFonts w:ascii="Arial" w:hAnsi="Arial" w:cs="Arial"/>
          <w:b/>
          <w:bCs/>
          <w:szCs w:val="24"/>
        </w:rPr>
      </w:pPr>
      <w:r w:rsidRPr="00E06BA6">
        <w:rPr>
          <w:rFonts w:ascii="Arial" w:hAnsi="Arial" w:cs="Arial"/>
          <w:b/>
          <w:bCs/>
          <w:szCs w:val="24"/>
        </w:rPr>
        <w:t xml:space="preserve">Table </w:t>
      </w:r>
      <w:r w:rsidR="00E06BA6" w:rsidRPr="00E06BA6">
        <w:rPr>
          <w:rFonts w:ascii="Arial" w:hAnsi="Arial" w:cs="Arial"/>
          <w:b/>
          <w:bCs/>
          <w:szCs w:val="24"/>
        </w:rPr>
        <w:t>4</w:t>
      </w:r>
      <w:r w:rsidRPr="00E06BA6">
        <w:rPr>
          <w:rFonts w:ascii="Arial" w:hAnsi="Arial" w:cs="Arial"/>
          <w:b/>
          <w:bCs/>
          <w:szCs w:val="24"/>
        </w:rPr>
        <w:t>.</w:t>
      </w:r>
      <w:r w:rsidRPr="003C2C25">
        <w:rPr>
          <w:rFonts w:ascii="Arial" w:hAnsi="Arial" w:cs="Arial"/>
          <w:b/>
          <w:bCs/>
          <w:szCs w:val="24"/>
        </w:rPr>
        <w:t xml:space="preserve"> </w:t>
      </w:r>
    </w:p>
    <w:p w14:paraId="023D4F87" w14:textId="21D24E96" w:rsidR="00610BD9" w:rsidRPr="003C2C25" w:rsidRDefault="00610BD9" w:rsidP="00746A73">
      <w:pPr>
        <w:keepNext/>
        <w:spacing w:line="264" w:lineRule="auto"/>
        <w:jc w:val="center"/>
        <w:rPr>
          <w:rFonts w:ascii="Arial" w:hAnsi="Arial" w:cs="Arial"/>
          <w:b/>
          <w:bCs/>
          <w:szCs w:val="24"/>
        </w:rPr>
      </w:pPr>
      <w:r w:rsidRPr="003C2C25">
        <w:rPr>
          <w:rFonts w:ascii="Arial" w:hAnsi="Arial" w:cs="Arial"/>
          <w:b/>
          <w:bCs/>
          <w:szCs w:val="24"/>
        </w:rPr>
        <w:t>Transit 2023-2024 Non-Trolley Electrification Projects</w:t>
      </w:r>
      <w:r w:rsidR="003C2C25" w:rsidRPr="003C2C25">
        <w:rPr>
          <w:rFonts w:ascii="Arial" w:hAnsi="Arial" w:cs="Arial"/>
          <w:b/>
          <w:bCs/>
          <w:szCs w:val="24"/>
        </w:rPr>
        <w:t xml:space="preserve"> (Funds 3641, 3642)</w:t>
      </w:r>
    </w:p>
    <w:p w14:paraId="0A3868CC" w14:textId="311919E0" w:rsidR="00B73B36" w:rsidRDefault="00B73B36" w:rsidP="00746A73">
      <w:pPr>
        <w:keepNext/>
        <w:spacing w:line="264" w:lineRule="auto"/>
        <w:jc w:val="both"/>
        <w:rPr>
          <w:rFonts w:ascii="Arial" w:hAnsi="Arial" w:cs="Arial"/>
          <w:szCs w:val="24"/>
        </w:rPr>
      </w:pPr>
    </w:p>
    <w:tbl>
      <w:tblPr>
        <w:tblW w:w="9468" w:type="dxa"/>
        <w:tblInd w:w="108" w:type="dxa"/>
        <w:tblLook w:val="04A0" w:firstRow="1" w:lastRow="0" w:firstColumn="1" w:lastColumn="0" w:noHBand="0" w:noVBand="1"/>
      </w:tblPr>
      <w:tblGrid>
        <w:gridCol w:w="1677"/>
        <w:gridCol w:w="2169"/>
        <w:gridCol w:w="1433"/>
        <w:gridCol w:w="1323"/>
        <w:gridCol w:w="1433"/>
        <w:gridCol w:w="1433"/>
      </w:tblGrid>
      <w:tr w:rsidR="00115CD6" w:rsidRPr="00115CD6" w14:paraId="5420B804" w14:textId="77777777" w:rsidTr="00A04FAA">
        <w:trPr>
          <w:trHeight w:val="300"/>
          <w:tblHeader/>
        </w:trPr>
        <w:tc>
          <w:tcPr>
            <w:tcW w:w="1677" w:type="dxa"/>
            <w:tcBorders>
              <w:top w:val="nil"/>
              <w:left w:val="nil"/>
              <w:bottom w:val="single" w:sz="4" w:space="0" w:color="auto"/>
              <w:right w:val="nil"/>
            </w:tcBorders>
            <w:shd w:val="clear" w:color="auto" w:fill="auto"/>
            <w:noWrap/>
            <w:vAlign w:val="bottom"/>
            <w:hideMark/>
          </w:tcPr>
          <w:p w14:paraId="503D1528" w14:textId="77777777" w:rsidR="00115CD6" w:rsidRPr="00115CD6" w:rsidRDefault="00115CD6" w:rsidP="00115CD6">
            <w:pPr>
              <w:rPr>
                <w:rFonts w:ascii="Arial" w:hAnsi="Arial" w:cs="Arial"/>
                <w:b/>
                <w:bCs/>
                <w:color w:val="000000"/>
                <w:sz w:val="18"/>
                <w:szCs w:val="18"/>
              </w:rPr>
            </w:pPr>
            <w:r w:rsidRPr="00115CD6">
              <w:rPr>
                <w:rFonts w:ascii="Arial" w:hAnsi="Arial" w:cs="Arial"/>
                <w:b/>
                <w:bCs/>
                <w:color w:val="000000"/>
                <w:sz w:val="18"/>
                <w:szCs w:val="18"/>
              </w:rPr>
              <w:t>Name</w:t>
            </w:r>
          </w:p>
        </w:tc>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52619159" w14:textId="77777777" w:rsidR="00115CD6" w:rsidRPr="00115CD6" w:rsidRDefault="00115CD6" w:rsidP="00115CD6">
            <w:pPr>
              <w:rPr>
                <w:rFonts w:ascii="Arial" w:hAnsi="Arial" w:cs="Arial"/>
                <w:b/>
                <w:bCs/>
                <w:color w:val="000000"/>
                <w:sz w:val="18"/>
                <w:szCs w:val="18"/>
              </w:rPr>
            </w:pPr>
            <w:r w:rsidRPr="00115CD6">
              <w:rPr>
                <w:rFonts w:ascii="Arial" w:hAnsi="Arial" w:cs="Arial"/>
                <w:b/>
                <w:bCs/>
                <w:color w:val="000000"/>
                <w:sz w:val="18"/>
                <w:szCs w:val="18"/>
              </w:rPr>
              <w:t xml:space="preserve">Description </w:t>
            </w:r>
          </w:p>
        </w:tc>
        <w:tc>
          <w:tcPr>
            <w:tcW w:w="1433" w:type="dxa"/>
            <w:tcBorders>
              <w:top w:val="nil"/>
              <w:left w:val="nil"/>
              <w:bottom w:val="single" w:sz="4" w:space="0" w:color="auto"/>
              <w:right w:val="nil"/>
            </w:tcBorders>
            <w:shd w:val="clear" w:color="auto" w:fill="auto"/>
            <w:noWrap/>
            <w:vAlign w:val="bottom"/>
            <w:hideMark/>
          </w:tcPr>
          <w:p w14:paraId="0411D9CE" w14:textId="77777777" w:rsidR="00115CD6" w:rsidRPr="00115CD6" w:rsidRDefault="00115CD6" w:rsidP="00115CD6">
            <w:pPr>
              <w:jc w:val="center"/>
              <w:rPr>
                <w:rFonts w:ascii="Arial" w:hAnsi="Arial" w:cs="Arial"/>
                <w:b/>
                <w:bCs/>
                <w:color w:val="000000"/>
                <w:sz w:val="18"/>
                <w:szCs w:val="18"/>
              </w:rPr>
            </w:pPr>
            <w:r w:rsidRPr="00115CD6">
              <w:rPr>
                <w:rFonts w:ascii="Arial" w:hAnsi="Arial" w:cs="Arial"/>
                <w:b/>
                <w:bCs/>
                <w:color w:val="000000"/>
                <w:sz w:val="18"/>
                <w:szCs w:val="18"/>
              </w:rPr>
              <w:t>2023-2024</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14:paraId="3BDD587A" w14:textId="77777777" w:rsidR="00115CD6" w:rsidRPr="00115CD6" w:rsidRDefault="00115CD6" w:rsidP="00115CD6">
            <w:pPr>
              <w:jc w:val="center"/>
              <w:rPr>
                <w:rFonts w:ascii="Arial" w:hAnsi="Arial" w:cs="Arial"/>
                <w:b/>
                <w:bCs/>
                <w:color w:val="000000"/>
                <w:sz w:val="18"/>
                <w:szCs w:val="18"/>
              </w:rPr>
            </w:pPr>
            <w:r w:rsidRPr="00115CD6">
              <w:rPr>
                <w:rFonts w:ascii="Arial" w:hAnsi="Arial" w:cs="Arial"/>
                <w:b/>
                <w:bCs/>
                <w:color w:val="000000"/>
                <w:sz w:val="18"/>
                <w:szCs w:val="18"/>
              </w:rPr>
              <w:t>2025-2026</w:t>
            </w:r>
          </w:p>
        </w:tc>
        <w:tc>
          <w:tcPr>
            <w:tcW w:w="1433" w:type="dxa"/>
            <w:tcBorders>
              <w:top w:val="nil"/>
              <w:left w:val="nil"/>
              <w:bottom w:val="single" w:sz="4" w:space="0" w:color="auto"/>
              <w:right w:val="nil"/>
            </w:tcBorders>
            <w:shd w:val="clear" w:color="auto" w:fill="auto"/>
            <w:noWrap/>
            <w:vAlign w:val="bottom"/>
            <w:hideMark/>
          </w:tcPr>
          <w:p w14:paraId="35981358" w14:textId="77777777" w:rsidR="00115CD6" w:rsidRPr="00115CD6" w:rsidRDefault="00115CD6" w:rsidP="00115CD6">
            <w:pPr>
              <w:jc w:val="center"/>
              <w:rPr>
                <w:rFonts w:ascii="Arial" w:hAnsi="Arial" w:cs="Arial"/>
                <w:b/>
                <w:bCs/>
                <w:color w:val="000000"/>
                <w:sz w:val="18"/>
                <w:szCs w:val="18"/>
              </w:rPr>
            </w:pPr>
            <w:r w:rsidRPr="00115CD6">
              <w:rPr>
                <w:rFonts w:ascii="Arial" w:hAnsi="Arial" w:cs="Arial"/>
                <w:b/>
                <w:bCs/>
                <w:color w:val="000000"/>
                <w:sz w:val="18"/>
                <w:szCs w:val="18"/>
              </w:rPr>
              <w:t>2027-2028</w:t>
            </w:r>
          </w:p>
        </w:tc>
        <w:tc>
          <w:tcPr>
            <w:tcW w:w="1433" w:type="dxa"/>
            <w:tcBorders>
              <w:top w:val="nil"/>
              <w:left w:val="single" w:sz="4" w:space="0" w:color="auto"/>
              <w:bottom w:val="single" w:sz="4" w:space="0" w:color="auto"/>
            </w:tcBorders>
            <w:shd w:val="clear" w:color="auto" w:fill="auto"/>
            <w:noWrap/>
            <w:vAlign w:val="bottom"/>
            <w:hideMark/>
          </w:tcPr>
          <w:p w14:paraId="262AD456" w14:textId="77777777" w:rsidR="00115CD6" w:rsidRPr="00115CD6" w:rsidRDefault="00115CD6" w:rsidP="00115CD6">
            <w:pPr>
              <w:jc w:val="center"/>
              <w:rPr>
                <w:rFonts w:ascii="Arial" w:hAnsi="Arial" w:cs="Arial"/>
                <w:b/>
                <w:bCs/>
                <w:color w:val="000000"/>
                <w:sz w:val="18"/>
                <w:szCs w:val="18"/>
              </w:rPr>
            </w:pPr>
            <w:r w:rsidRPr="00115CD6">
              <w:rPr>
                <w:rFonts w:ascii="Arial" w:hAnsi="Arial" w:cs="Arial"/>
                <w:b/>
                <w:bCs/>
                <w:color w:val="000000"/>
                <w:sz w:val="18"/>
                <w:szCs w:val="18"/>
              </w:rPr>
              <w:t>6-Year Total</w:t>
            </w:r>
          </w:p>
        </w:tc>
      </w:tr>
      <w:tr w:rsidR="00115CD6" w:rsidRPr="00115CD6" w14:paraId="494FA34E" w14:textId="77777777" w:rsidTr="00A04FAA">
        <w:trPr>
          <w:trHeight w:val="1020"/>
        </w:trPr>
        <w:tc>
          <w:tcPr>
            <w:tcW w:w="1677" w:type="dxa"/>
            <w:tcBorders>
              <w:top w:val="nil"/>
              <w:left w:val="nil"/>
              <w:bottom w:val="single" w:sz="4" w:space="0" w:color="auto"/>
              <w:right w:val="nil"/>
            </w:tcBorders>
            <w:shd w:val="clear" w:color="auto" w:fill="auto"/>
            <w:vAlign w:val="center"/>
            <w:hideMark/>
          </w:tcPr>
          <w:p w14:paraId="064043F4" w14:textId="77777777" w:rsidR="00115CD6" w:rsidRPr="00115CD6" w:rsidRDefault="00115CD6" w:rsidP="00115CD6">
            <w:pPr>
              <w:rPr>
                <w:rFonts w:ascii="Arial" w:hAnsi="Arial" w:cs="Arial"/>
                <w:color w:val="000000"/>
                <w:sz w:val="18"/>
                <w:szCs w:val="18"/>
              </w:rPr>
            </w:pPr>
            <w:r w:rsidRPr="00115CD6">
              <w:rPr>
                <w:rFonts w:ascii="Arial" w:hAnsi="Arial" w:cs="Arial"/>
                <w:b/>
                <w:bCs/>
                <w:color w:val="000000"/>
                <w:sz w:val="18"/>
                <w:szCs w:val="18"/>
              </w:rPr>
              <w:t>South Annex Base</w:t>
            </w:r>
            <w:r w:rsidRPr="00115CD6">
              <w:rPr>
                <w:rFonts w:ascii="Arial" w:hAnsi="Arial" w:cs="Arial"/>
                <w:color w:val="000000"/>
                <w:sz w:val="18"/>
                <w:szCs w:val="18"/>
              </w:rPr>
              <w:br/>
            </w:r>
            <w:r w:rsidRPr="00115CD6">
              <w:rPr>
                <w:rFonts w:ascii="Arial" w:hAnsi="Arial" w:cs="Arial"/>
                <w:i/>
                <w:iCs/>
                <w:color w:val="000000"/>
                <w:sz w:val="18"/>
                <w:szCs w:val="18"/>
              </w:rPr>
              <w:t>(1134223)</w:t>
            </w:r>
          </w:p>
        </w:tc>
        <w:tc>
          <w:tcPr>
            <w:tcW w:w="2169" w:type="dxa"/>
            <w:tcBorders>
              <w:top w:val="nil"/>
              <w:left w:val="single" w:sz="4" w:space="0" w:color="auto"/>
              <w:bottom w:val="single" w:sz="4" w:space="0" w:color="auto"/>
              <w:right w:val="single" w:sz="4" w:space="0" w:color="auto"/>
            </w:tcBorders>
            <w:shd w:val="clear" w:color="auto" w:fill="auto"/>
            <w:vAlign w:val="center"/>
            <w:hideMark/>
          </w:tcPr>
          <w:p w14:paraId="6A7B9A97" w14:textId="77777777" w:rsidR="00115CD6" w:rsidRPr="00115CD6" w:rsidRDefault="00115CD6" w:rsidP="00115CD6">
            <w:pPr>
              <w:rPr>
                <w:rFonts w:ascii="Arial" w:hAnsi="Arial" w:cs="Arial"/>
                <w:color w:val="000000"/>
                <w:sz w:val="18"/>
                <w:szCs w:val="18"/>
              </w:rPr>
            </w:pPr>
            <w:r w:rsidRPr="00115CD6">
              <w:rPr>
                <w:rFonts w:ascii="Arial" w:hAnsi="Arial" w:cs="Arial"/>
                <w:color w:val="000000"/>
                <w:sz w:val="18"/>
                <w:szCs w:val="18"/>
              </w:rPr>
              <w:t>Will open as an electrified base in 2028 with capacity for 250 battery-electric buses</w:t>
            </w:r>
          </w:p>
        </w:tc>
        <w:tc>
          <w:tcPr>
            <w:tcW w:w="1433" w:type="dxa"/>
            <w:tcBorders>
              <w:top w:val="nil"/>
              <w:left w:val="nil"/>
              <w:bottom w:val="single" w:sz="4" w:space="0" w:color="auto"/>
              <w:right w:val="nil"/>
            </w:tcBorders>
            <w:shd w:val="clear" w:color="auto" w:fill="auto"/>
            <w:noWrap/>
            <w:vAlign w:val="center"/>
            <w:hideMark/>
          </w:tcPr>
          <w:p w14:paraId="22E6807A"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$0</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FDB9831"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$82,534,100</w:t>
            </w:r>
          </w:p>
        </w:tc>
        <w:tc>
          <w:tcPr>
            <w:tcW w:w="1433" w:type="dxa"/>
            <w:tcBorders>
              <w:top w:val="nil"/>
              <w:left w:val="nil"/>
              <w:bottom w:val="single" w:sz="4" w:space="0" w:color="auto"/>
              <w:right w:val="nil"/>
            </w:tcBorders>
            <w:shd w:val="clear" w:color="auto" w:fill="auto"/>
            <w:noWrap/>
            <w:vAlign w:val="center"/>
            <w:hideMark/>
          </w:tcPr>
          <w:p w14:paraId="266A81C5"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$264,934,398</w:t>
            </w:r>
          </w:p>
        </w:tc>
        <w:tc>
          <w:tcPr>
            <w:tcW w:w="1433" w:type="dxa"/>
            <w:tcBorders>
              <w:top w:val="single" w:sz="4" w:space="0" w:color="auto"/>
              <w:left w:val="single" w:sz="4" w:space="0" w:color="auto"/>
              <w:bottom w:val="single" w:sz="4" w:space="0" w:color="auto"/>
            </w:tcBorders>
            <w:shd w:val="clear" w:color="auto" w:fill="auto"/>
            <w:noWrap/>
            <w:vAlign w:val="center"/>
            <w:hideMark/>
          </w:tcPr>
          <w:p w14:paraId="5F0120AE"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$347,468,498</w:t>
            </w:r>
          </w:p>
        </w:tc>
      </w:tr>
      <w:tr w:rsidR="00115CD6" w:rsidRPr="00115CD6" w14:paraId="1AAD60A3" w14:textId="77777777" w:rsidTr="00A04FAA">
        <w:trPr>
          <w:trHeight w:val="1275"/>
        </w:trPr>
        <w:tc>
          <w:tcPr>
            <w:tcW w:w="1677" w:type="dxa"/>
            <w:tcBorders>
              <w:top w:val="nil"/>
              <w:left w:val="nil"/>
              <w:bottom w:val="single" w:sz="4" w:space="0" w:color="auto"/>
              <w:right w:val="nil"/>
            </w:tcBorders>
            <w:shd w:val="clear" w:color="auto" w:fill="auto"/>
            <w:vAlign w:val="center"/>
            <w:hideMark/>
          </w:tcPr>
          <w:p w14:paraId="0F38B6FD" w14:textId="77777777" w:rsidR="00115CD6" w:rsidRPr="00115CD6" w:rsidRDefault="00115CD6" w:rsidP="00115CD6">
            <w:pPr>
              <w:rPr>
                <w:rFonts w:ascii="Arial" w:hAnsi="Arial" w:cs="Arial"/>
                <w:color w:val="000000"/>
                <w:sz w:val="18"/>
                <w:szCs w:val="18"/>
              </w:rPr>
            </w:pPr>
            <w:r w:rsidRPr="00115CD6">
              <w:rPr>
                <w:rFonts w:ascii="Arial" w:hAnsi="Arial" w:cs="Arial"/>
                <w:b/>
                <w:bCs/>
                <w:color w:val="000000"/>
                <w:sz w:val="18"/>
                <w:szCs w:val="18"/>
              </w:rPr>
              <w:t>Zero Emission Infrastructure Planning</w:t>
            </w:r>
            <w:r w:rsidRPr="00115CD6">
              <w:rPr>
                <w:rFonts w:ascii="Arial" w:hAnsi="Arial" w:cs="Arial"/>
                <w:color w:val="000000"/>
                <w:sz w:val="18"/>
                <w:szCs w:val="18"/>
              </w:rPr>
              <w:br/>
            </w:r>
            <w:r w:rsidRPr="00115CD6">
              <w:rPr>
                <w:rFonts w:ascii="Arial" w:hAnsi="Arial" w:cs="Arial"/>
                <w:i/>
                <w:iCs/>
                <w:color w:val="000000"/>
                <w:sz w:val="18"/>
                <w:szCs w:val="18"/>
              </w:rPr>
              <w:t>(1134274)</w:t>
            </w:r>
          </w:p>
        </w:tc>
        <w:tc>
          <w:tcPr>
            <w:tcW w:w="2169" w:type="dxa"/>
            <w:tcBorders>
              <w:top w:val="nil"/>
              <w:left w:val="single" w:sz="4" w:space="0" w:color="auto"/>
              <w:bottom w:val="single" w:sz="4" w:space="0" w:color="auto"/>
              <w:right w:val="single" w:sz="4" w:space="0" w:color="auto"/>
            </w:tcBorders>
            <w:shd w:val="clear" w:color="auto" w:fill="auto"/>
            <w:vAlign w:val="center"/>
            <w:hideMark/>
          </w:tcPr>
          <w:p w14:paraId="0DD0BE9C" w14:textId="77777777" w:rsidR="00115CD6" w:rsidRPr="00115CD6" w:rsidRDefault="00115CD6" w:rsidP="00115CD6">
            <w:pPr>
              <w:rPr>
                <w:rFonts w:ascii="Arial" w:hAnsi="Arial" w:cs="Arial"/>
                <w:color w:val="000000"/>
                <w:sz w:val="18"/>
                <w:szCs w:val="18"/>
              </w:rPr>
            </w:pPr>
            <w:r w:rsidRPr="00115CD6">
              <w:rPr>
                <w:rFonts w:ascii="Arial" w:hAnsi="Arial" w:cs="Arial"/>
                <w:color w:val="000000"/>
                <w:sz w:val="18"/>
                <w:szCs w:val="18"/>
              </w:rPr>
              <w:t>Overall planning and programming of vehicle infrastructure facilities to support zero-emission fleet</w:t>
            </w:r>
          </w:p>
        </w:tc>
        <w:tc>
          <w:tcPr>
            <w:tcW w:w="1433" w:type="dxa"/>
            <w:tcBorders>
              <w:top w:val="nil"/>
              <w:left w:val="nil"/>
              <w:bottom w:val="single" w:sz="4" w:space="0" w:color="auto"/>
              <w:right w:val="nil"/>
            </w:tcBorders>
            <w:shd w:val="clear" w:color="auto" w:fill="auto"/>
            <w:noWrap/>
            <w:vAlign w:val="center"/>
            <w:hideMark/>
          </w:tcPr>
          <w:p w14:paraId="1C2D3114"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$1,311,845</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CC08DE8"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$1,962,220</w:t>
            </w:r>
          </w:p>
        </w:tc>
        <w:tc>
          <w:tcPr>
            <w:tcW w:w="1433" w:type="dxa"/>
            <w:tcBorders>
              <w:top w:val="nil"/>
              <w:left w:val="nil"/>
              <w:bottom w:val="single" w:sz="4" w:space="0" w:color="auto"/>
              <w:right w:val="nil"/>
            </w:tcBorders>
            <w:shd w:val="clear" w:color="auto" w:fill="auto"/>
            <w:noWrap/>
            <w:vAlign w:val="center"/>
            <w:hideMark/>
          </w:tcPr>
          <w:p w14:paraId="5210B540"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$1,958,311</w:t>
            </w:r>
          </w:p>
        </w:tc>
        <w:tc>
          <w:tcPr>
            <w:tcW w:w="1433" w:type="dxa"/>
            <w:tcBorders>
              <w:top w:val="single" w:sz="4" w:space="0" w:color="auto"/>
              <w:left w:val="single" w:sz="4" w:space="0" w:color="auto"/>
              <w:bottom w:val="single" w:sz="4" w:space="0" w:color="auto"/>
            </w:tcBorders>
            <w:shd w:val="clear" w:color="auto" w:fill="auto"/>
            <w:noWrap/>
            <w:vAlign w:val="center"/>
            <w:hideMark/>
          </w:tcPr>
          <w:p w14:paraId="66064C63"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$5,232,376</w:t>
            </w:r>
          </w:p>
        </w:tc>
      </w:tr>
      <w:tr w:rsidR="00115CD6" w:rsidRPr="00115CD6" w14:paraId="5AD829D1" w14:textId="77777777" w:rsidTr="00A04FAA">
        <w:trPr>
          <w:trHeight w:val="1530"/>
        </w:trPr>
        <w:tc>
          <w:tcPr>
            <w:tcW w:w="1677" w:type="dxa"/>
            <w:tcBorders>
              <w:top w:val="nil"/>
              <w:left w:val="nil"/>
              <w:bottom w:val="single" w:sz="4" w:space="0" w:color="auto"/>
              <w:right w:val="nil"/>
            </w:tcBorders>
            <w:shd w:val="clear" w:color="auto" w:fill="auto"/>
            <w:vAlign w:val="center"/>
            <w:hideMark/>
          </w:tcPr>
          <w:p w14:paraId="08610B8F" w14:textId="77777777" w:rsidR="00115CD6" w:rsidRPr="00115CD6" w:rsidRDefault="00115CD6" w:rsidP="00115CD6">
            <w:pPr>
              <w:rPr>
                <w:rFonts w:ascii="Arial" w:hAnsi="Arial" w:cs="Arial"/>
                <w:color w:val="000000"/>
                <w:sz w:val="18"/>
                <w:szCs w:val="18"/>
              </w:rPr>
            </w:pPr>
            <w:r w:rsidRPr="00115CD6">
              <w:rPr>
                <w:rFonts w:ascii="Arial" w:hAnsi="Arial" w:cs="Arial"/>
                <w:b/>
                <w:bCs/>
                <w:color w:val="000000"/>
                <w:sz w:val="18"/>
                <w:szCs w:val="18"/>
              </w:rPr>
              <w:t>Electric Bus Charging Test Facility at South Base</w:t>
            </w:r>
            <w:r w:rsidRPr="00115CD6">
              <w:rPr>
                <w:rFonts w:ascii="Arial" w:hAnsi="Arial" w:cs="Arial"/>
                <w:color w:val="000000"/>
                <w:sz w:val="18"/>
                <w:szCs w:val="18"/>
              </w:rPr>
              <w:br/>
            </w:r>
            <w:r w:rsidRPr="00115CD6">
              <w:rPr>
                <w:rFonts w:ascii="Arial" w:hAnsi="Arial" w:cs="Arial"/>
                <w:i/>
                <w:iCs/>
                <w:color w:val="000000"/>
                <w:sz w:val="18"/>
                <w:szCs w:val="18"/>
              </w:rPr>
              <w:t>(1134282)</w:t>
            </w:r>
          </w:p>
        </w:tc>
        <w:tc>
          <w:tcPr>
            <w:tcW w:w="2169" w:type="dxa"/>
            <w:tcBorders>
              <w:top w:val="nil"/>
              <w:left w:val="single" w:sz="4" w:space="0" w:color="auto"/>
              <w:bottom w:val="single" w:sz="4" w:space="0" w:color="auto"/>
              <w:right w:val="single" w:sz="4" w:space="0" w:color="auto"/>
            </w:tcBorders>
            <w:shd w:val="clear" w:color="auto" w:fill="auto"/>
            <w:vAlign w:val="center"/>
            <w:hideMark/>
          </w:tcPr>
          <w:p w14:paraId="0E052539" w14:textId="77777777" w:rsidR="00115CD6" w:rsidRPr="00115CD6" w:rsidRDefault="00115CD6" w:rsidP="00115CD6">
            <w:pPr>
              <w:rPr>
                <w:rFonts w:ascii="Arial" w:hAnsi="Arial" w:cs="Arial"/>
                <w:color w:val="000000"/>
                <w:sz w:val="18"/>
                <w:szCs w:val="18"/>
              </w:rPr>
            </w:pPr>
            <w:r w:rsidRPr="00115CD6">
              <w:rPr>
                <w:rFonts w:ascii="Arial" w:hAnsi="Arial" w:cs="Arial"/>
                <w:color w:val="000000"/>
                <w:sz w:val="18"/>
                <w:szCs w:val="18"/>
              </w:rPr>
              <w:t>Design, implementation, testing, certification, operations, and closeout of the test facility project</w:t>
            </w:r>
          </w:p>
        </w:tc>
        <w:tc>
          <w:tcPr>
            <w:tcW w:w="1433" w:type="dxa"/>
            <w:tcBorders>
              <w:top w:val="nil"/>
              <w:left w:val="nil"/>
              <w:bottom w:val="single" w:sz="4" w:space="0" w:color="auto"/>
              <w:right w:val="nil"/>
            </w:tcBorders>
            <w:shd w:val="clear" w:color="auto" w:fill="auto"/>
            <w:noWrap/>
            <w:vAlign w:val="center"/>
            <w:hideMark/>
          </w:tcPr>
          <w:p w14:paraId="7671BEFD"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$1,073,442</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4B8F476"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$0</w:t>
            </w:r>
          </w:p>
        </w:tc>
        <w:tc>
          <w:tcPr>
            <w:tcW w:w="1433" w:type="dxa"/>
            <w:tcBorders>
              <w:top w:val="nil"/>
              <w:left w:val="nil"/>
              <w:bottom w:val="single" w:sz="4" w:space="0" w:color="auto"/>
              <w:right w:val="nil"/>
            </w:tcBorders>
            <w:shd w:val="clear" w:color="auto" w:fill="auto"/>
            <w:noWrap/>
            <w:vAlign w:val="center"/>
            <w:hideMark/>
          </w:tcPr>
          <w:p w14:paraId="468712C8"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$0</w:t>
            </w:r>
          </w:p>
        </w:tc>
        <w:tc>
          <w:tcPr>
            <w:tcW w:w="1433" w:type="dxa"/>
            <w:tcBorders>
              <w:top w:val="single" w:sz="4" w:space="0" w:color="auto"/>
              <w:left w:val="single" w:sz="4" w:space="0" w:color="auto"/>
              <w:bottom w:val="single" w:sz="4" w:space="0" w:color="auto"/>
            </w:tcBorders>
            <w:shd w:val="clear" w:color="auto" w:fill="auto"/>
            <w:noWrap/>
            <w:vAlign w:val="center"/>
            <w:hideMark/>
          </w:tcPr>
          <w:p w14:paraId="46E85A2C"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$1,073,442</w:t>
            </w:r>
          </w:p>
        </w:tc>
      </w:tr>
      <w:tr w:rsidR="00115CD6" w:rsidRPr="00115CD6" w14:paraId="18688E54" w14:textId="77777777" w:rsidTr="00A04FAA">
        <w:trPr>
          <w:trHeight w:val="990"/>
        </w:trPr>
        <w:tc>
          <w:tcPr>
            <w:tcW w:w="1677" w:type="dxa"/>
            <w:tcBorders>
              <w:top w:val="nil"/>
              <w:left w:val="nil"/>
              <w:bottom w:val="single" w:sz="4" w:space="0" w:color="auto"/>
              <w:right w:val="nil"/>
            </w:tcBorders>
            <w:shd w:val="clear" w:color="auto" w:fill="auto"/>
            <w:vAlign w:val="center"/>
            <w:hideMark/>
          </w:tcPr>
          <w:p w14:paraId="31C91CFB" w14:textId="77777777" w:rsidR="00115CD6" w:rsidRPr="00115CD6" w:rsidRDefault="00115CD6" w:rsidP="00115CD6">
            <w:pPr>
              <w:rPr>
                <w:rFonts w:ascii="Arial" w:hAnsi="Arial" w:cs="Arial"/>
                <w:color w:val="000000"/>
                <w:sz w:val="18"/>
                <w:szCs w:val="18"/>
              </w:rPr>
            </w:pPr>
            <w:r w:rsidRPr="00115CD6">
              <w:rPr>
                <w:rFonts w:ascii="Arial" w:hAnsi="Arial" w:cs="Arial"/>
                <w:b/>
                <w:bCs/>
                <w:color w:val="000000"/>
                <w:sz w:val="18"/>
                <w:szCs w:val="18"/>
              </w:rPr>
              <w:t>Electric Vehicle Charging Program Budget</w:t>
            </w:r>
            <w:r w:rsidRPr="00115CD6">
              <w:rPr>
                <w:rFonts w:ascii="Arial" w:hAnsi="Arial" w:cs="Arial"/>
                <w:color w:val="000000"/>
                <w:sz w:val="18"/>
                <w:szCs w:val="18"/>
              </w:rPr>
              <w:br/>
            </w:r>
            <w:r w:rsidRPr="00115CD6">
              <w:rPr>
                <w:rFonts w:ascii="Arial" w:hAnsi="Arial" w:cs="Arial"/>
                <w:i/>
                <w:iCs/>
                <w:color w:val="000000"/>
                <w:sz w:val="18"/>
                <w:szCs w:val="18"/>
              </w:rPr>
              <w:t>(1139326)</w:t>
            </w:r>
          </w:p>
        </w:tc>
        <w:tc>
          <w:tcPr>
            <w:tcW w:w="2169" w:type="dxa"/>
            <w:tcBorders>
              <w:top w:val="nil"/>
              <w:left w:val="single" w:sz="4" w:space="0" w:color="auto"/>
              <w:bottom w:val="single" w:sz="4" w:space="0" w:color="auto"/>
              <w:right w:val="single" w:sz="4" w:space="0" w:color="auto"/>
            </w:tcBorders>
            <w:shd w:val="clear" w:color="auto" w:fill="auto"/>
            <w:vAlign w:val="center"/>
            <w:hideMark/>
          </w:tcPr>
          <w:p w14:paraId="0B698BCC" w14:textId="77777777" w:rsidR="00115CD6" w:rsidRPr="00115CD6" w:rsidRDefault="00115CD6" w:rsidP="00115CD6">
            <w:pPr>
              <w:rPr>
                <w:rFonts w:ascii="Arial" w:hAnsi="Arial" w:cs="Arial"/>
                <w:color w:val="000000"/>
                <w:sz w:val="18"/>
                <w:szCs w:val="18"/>
              </w:rPr>
            </w:pPr>
            <w:r w:rsidRPr="00115CD6">
              <w:rPr>
                <w:rFonts w:ascii="Arial" w:hAnsi="Arial" w:cs="Arial"/>
                <w:color w:val="000000"/>
                <w:sz w:val="18"/>
                <w:szCs w:val="18"/>
              </w:rPr>
              <w:t>Non-bus vehicle charging infrastructure at transit facilities</w:t>
            </w:r>
          </w:p>
        </w:tc>
        <w:tc>
          <w:tcPr>
            <w:tcW w:w="1433" w:type="dxa"/>
            <w:tcBorders>
              <w:top w:val="nil"/>
              <w:left w:val="nil"/>
              <w:bottom w:val="single" w:sz="4" w:space="0" w:color="auto"/>
              <w:right w:val="nil"/>
            </w:tcBorders>
            <w:shd w:val="clear" w:color="auto" w:fill="auto"/>
            <w:noWrap/>
            <w:vAlign w:val="center"/>
            <w:hideMark/>
          </w:tcPr>
          <w:p w14:paraId="6B24D6F1"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$1,622,741</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F56C07A"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$2,512,253</w:t>
            </w:r>
          </w:p>
        </w:tc>
        <w:tc>
          <w:tcPr>
            <w:tcW w:w="1433" w:type="dxa"/>
            <w:tcBorders>
              <w:top w:val="nil"/>
              <w:left w:val="nil"/>
              <w:bottom w:val="single" w:sz="4" w:space="0" w:color="auto"/>
              <w:right w:val="nil"/>
            </w:tcBorders>
            <w:shd w:val="clear" w:color="auto" w:fill="auto"/>
            <w:noWrap/>
            <w:vAlign w:val="center"/>
            <w:hideMark/>
          </w:tcPr>
          <w:p w14:paraId="3E22FBEF"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$3,082,870</w:t>
            </w:r>
          </w:p>
        </w:tc>
        <w:tc>
          <w:tcPr>
            <w:tcW w:w="1433" w:type="dxa"/>
            <w:tcBorders>
              <w:top w:val="single" w:sz="4" w:space="0" w:color="auto"/>
              <w:left w:val="single" w:sz="4" w:space="0" w:color="auto"/>
              <w:bottom w:val="single" w:sz="4" w:space="0" w:color="auto"/>
            </w:tcBorders>
            <w:shd w:val="clear" w:color="auto" w:fill="auto"/>
            <w:noWrap/>
            <w:vAlign w:val="center"/>
            <w:hideMark/>
          </w:tcPr>
          <w:p w14:paraId="5F27E427"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$7,217,864</w:t>
            </w:r>
          </w:p>
        </w:tc>
      </w:tr>
      <w:tr w:rsidR="00115CD6" w:rsidRPr="00115CD6" w14:paraId="51085711" w14:textId="77777777" w:rsidTr="00A04FAA">
        <w:trPr>
          <w:trHeight w:val="1020"/>
        </w:trPr>
        <w:tc>
          <w:tcPr>
            <w:tcW w:w="1677" w:type="dxa"/>
            <w:tcBorders>
              <w:top w:val="nil"/>
              <w:left w:val="nil"/>
              <w:bottom w:val="single" w:sz="4" w:space="0" w:color="auto"/>
              <w:right w:val="nil"/>
            </w:tcBorders>
            <w:shd w:val="clear" w:color="auto" w:fill="auto"/>
            <w:vAlign w:val="center"/>
            <w:hideMark/>
          </w:tcPr>
          <w:p w14:paraId="7E28DE0A" w14:textId="77777777" w:rsidR="00115CD6" w:rsidRPr="00115CD6" w:rsidRDefault="00115CD6" w:rsidP="00115CD6">
            <w:pPr>
              <w:rPr>
                <w:rFonts w:ascii="Arial" w:hAnsi="Arial" w:cs="Arial"/>
                <w:color w:val="000000"/>
                <w:sz w:val="18"/>
                <w:szCs w:val="18"/>
              </w:rPr>
            </w:pPr>
            <w:r w:rsidRPr="00115CD6">
              <w:rPr>
                <w:rFonts w:ascii="Arial" w:hAnsi="Arial" w:cs="Arial"/>
                <w:b/>
                <w:bCs/>
                <w:color w:val="000000"/>
                <w:sz w:val="18"/>
                <w:szCs w:val="18"/>
              </w:rPr>
              <w:t>Interim Base Bus Charging</w:t>
            </w:r>
            <w:r w:rsidRPr="00115CD6">
              <w:rPr>
                <w:rFonts w:ascii="Arial" w:hAnsi="Arial" w:cs="Arial"/>
                <w:color w:val="000000"/>
                <w:sz w:val="18"/>
                <w:szCs w:val="18"/>
              </w:rPr>
              <w:br/>
            </w:r>
            <w:r w:rsidRPr="00115CD6">
              <w:rPr>
                <w:rFonts w:ascii="Arial" w:hAnsi="Arial" w:cs="Arial"/>
                <w:i/>
                <w:iCs/>
                <w:color w:val="000000"/>
                <w:sz w:val="18"/>
                <w:szCs w:val="18"/>
              </w:rPr>
              <w:t>(1139367)</w:t>
            </w:r>
          </w:p>
        </w:tc>
        <w:tc>
          <w:tcPr>
            <w:tcW w:w="2169" w:type="dxa"/>
            <w:tcBorders>
              <w:top w:val="nil"/>
              <w:left w:val="single" w:sz="4" w:space="0" w:color="auto"/>
              <w:bottom w:val="single" w:sz="4" w:space="0" w:color="auto"/>
              <w:right w:val="single" w:sz="4" w:space="0" w:color="auto"/>
            </w:tcBorders>
            <w:shd w:val="clear" w:color="auto" w:fill="auto"/>
            <w:vAlign w:val="center"/>
            <w:hideMark/>
          </w:tcPr>
          <w:p w14:paraId="00DB2850" w14:textId="77777777" w:rsidR="00115CD6" w:rsidRPr="00115CD6" w:rsidRDefault="00115CD6" w:rsidP="00115CD6">
            <w:pPr>
              <w:rPr>
                <w:rFonts w:ascii="Arial" w:hAnsi="Arial" w:cs="Arial"/>
                <w:color w:val="000000"/>
                <w:sz w:val="18"/>
                <w:szCs w:val="18"/>
              </w:rPr>
            </w:pPr>
            <w:r w:rsidRPr="00115CD6">
              <w:rPr>
                <w:rFonts w:ascii="Arial" w:hAnsi="Arial" w:cs="Arial"/>
                <w:color w:val="000000"/>
                <w:sz w:val="18"/>
                <w:szCs w:val="18"/>
              </w:rPr>
              <w:t>Will open as an electrified base in 2025 with capacity for 120 battery-electric buses</w:t>
            </w:r>
          </w:p>
        </w:tc>
        <w:tc>
          <w:tcPr>
            <w:tcW w:w="1433" w:type="dxa"/>
            <w:tcBorders>
              <w:top w:val="nil"/>
              <w:left w:val="nil"/>
              <w:bottom w:val="single" w:sz="4" w:space="0" w:color="auto"/>
              <w:right w:val="nil"/>
            </w:tcBorders>
            <w:shd w:val="clear" w:color="auto" w:fill="auto"/>
            <w:noWrap/>
            <w:vAlign w:val="center"/>
            <w:hideMark/>
          </w:tcPr>
          <w:p w14:paraId="72A63025"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$26,483,149</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C91E64A"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$0</w:t>
            </w:r>
          </w:p>
        </w:tc>
        <w:tc>
          <w:tcPr>
            <w:tcW w:w="1433" w:type="dxa"/>
            <w:tcBorders>
              <w:top w:val="nil"/>
              <w:left w:val="nil"/>
              <w:bottom w:val="single" w:sz="4" w:space="0" w:color="auto"/>
              <w:right w:val="nil"/>
            </w:tcBorders>
            <w:shd w:val="clear" w:color="auto" w:fill="auto"/>
            <w:noWrap/>
            <w:vAlign w:val="center"/>
            <w:hideMark/>
          </w:tcPr>
          <w:p w14:paraId="343C8B03"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$0</w:t>
            </w:r>
          </w:p>
        </w:tc>
        <w:tc>
          <w:tcPr>
            <w:tcW w:w="1433" w:type="dxa"/>
            <w:tcBorders>
              <w:top w:val="single" w:sz="4" w:space="0" w:color="auto"/>
              <w:left w:val="single" w:sz="4" w:space="0" w:color="auto"/>
              <w:bottom w:val="single" w:sz="4" w:space="0" w:color="auto"/>
            </w:tcBorders>
            <w:shd w:val="clear" w:color="auto" w:fill="auto"/>
            <w:noWrap/>
            <w:vAlign w:val="center"/>
            <w:hideMark/>
          </w:tcPr>
          <w:p w14:paraId="11ADBBBF"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$26,483,149</w:t>
            </w:r>
          </w:p>
        </w:tc>
      </w:tr>
      <w:tr w:rsidR="00115CD6" w:rsidRPr="00115CD6" w14:paraId="59C4F0C6" w14:textId="77777777" w:rsidTr="00A04FAA">
        <w:trPr>
          <w:trHeight w:val="1245"/>
        </w:trPr>
        <w:tc>
          <w:tcPr>
            <w:tcW w:w="1677" w:type="dxa"/>
            <w:tcBorders>
              <w:top w:val="nil"/>
              <w:left w:val="nil"/>
              <w:bottom w:val="single" w:sz="4" w:space="0" w:color="auto"/>
              <w:right w:val="nil"/>
            </w:tcBorders>
            <w:shd w:val="clear" w:color="auto" w:fill="auto"/>
            <w:vAlign w:val="center"/>
            <w:hideMark/>
          </w:tcPr>
          <w:p w14:paraId="4801085C" w14:textId="77777777" w:rsidR="00115CD6" w:rsidRPr="00115CD6" w:rsidRDefault="00115CD6" w:rsidP="00115CD6">
            <w:pPr>
              <w:rPr>
                <w:rFonts w:ascii="Arial" w:hAnsi="Arial" w:cs="Arial"/>
                <w:color w:val="000000"/>
                <w:sz w:val="18"/>
                <w:szCs w:val="18"/>
              </w:rPr>
            </w:pPr>
            <w:r w:rsidRPr="00115CD6">
              <w:rPr>
                <w:rFonts w:ascii="Arial" w:hAnsi="Arial" w:cs="Arial"/>
                <w:b/>
                <w:bCs/>
                <w:color w:val="000000"/>
                <w:sz w:val="18"/>
                <w:szCs w:val="18"/>
              </w:rPr>
              <w:t>Contracted Services Electric Vehicle Base Planning</w:t>
            </w:r>
            <w:r w:rsidRPr="00115CD6">
              <w:rPr>
                <w:rFonts w:ascii="Arial" w:hAnsi="Arial" w:cs="Arial"/>
                <w:color w:val="000000"/>
                <w:sz w:val="18"/>
                <w:szCs w:val="18"/>
              </w:rPr>
              <w:br/>
            </w:r>
            <w:r w:rsidRPr="00115CD6">
              <w:rPr>
                <w:rFonts w:ascii="Arial" w:hAnsi="Arial" w:cs="Arial"/>
                <w:i/>
                <w:iCs/>
                <w:color w:val="000000"/>
                <w:sz w:val="18"/>
                <w:szCs w:val="18"/>
              </w:rPr>
              <w:t>(1142080)</w:t>
            </w:r>
          </w:p>
        </w:tc>
        <w:tc>
          <w:tcPr>
            <w:tcW w:w="2169" w:type="dxa"/>
            <w:tcBorders>
              <w:top w:val="nil"/>
              <w:left w:val="single" w:sz="4" w:space="0" w:color="auto"/>
              <w:bottom w:val="single" w:sz="4" w:space="0" w:color="auto"/>
              <w:right w:val="single" w:sz="4" w:space="0" w:color="auto"/>
            </w:tcBorders>
            <w:shd w:val="clear" w:color="auto" w:fill="auto"/>
            <w:vAlign w:val="center"/>
            <w:hideMark/>
          </w:tcPr>
          <w:p w14:paraId="6AAA7B73" w14:textId="77777777" w:rsidR="00115CD6" w:rsidRPr="00115CD6" w:rsidRDefault="00115CD6" w:rsidP="00115CD6">
            <w:pPr>
              <w:rPr>
                <w:rFonts w:ascii="Arial" w:hAnsi="Arial" w:cs="Arial"/>
                <w:color w:val="000000"/>
                <w:sz w:val="18"/>
                <w:szCs w:val="18"/>
              </w:rPr>
            </w:pPr>
            <w:r w:rsidRPr="00115CD6">
              <w:rPr>
                <w:rFonts w:ascii="Arial" w:hAnsi="Arial" w:cs="Arial"/>
                <w:color w:val="000000"/>
                <w:sz w:val="18"/>
                <w:szCs w:val="18"/>
              </w:rPr>
              <w:t>Preliminary design to prepare for construction of eEV operations base for Mobility Division</w:t>
            </w:r>
          </w:p>
        </w:tc>
        <w:tc>
          <w:tcPr>
            <w:tcW w:w="1433" w:type="dxa"/>
            <w:tcBorders>
              <w:top w:val="nil"/>
              <w:left w:val="nil"/>
              <w:bottom w:val="single" w:sz="4" w:space="0" w:color="auto"/>
              <w:right w:val="nil"/>
            </w:tcBorders>
            <w:shd w:val="clear" w:color="auto" w:fill="auto"/>
            <w:noWrap/>
            <w:vAlign w:val="center"/>
            <w:hideMark/>
          </w:tcPr>
          <w:p w14:paraId="294ED64D"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$612,920</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080148C"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$333,000</w:t>
            </w:r>
          </w:p>
        </w:tc>
        <w:tc>
          <w:tcPr>
            <w:tcW w:w="1433" w:type="dxa"/>
            <w:tcBorders>
              <w:top w:val="nil"/>
              <w:left w:val="nil"/>
              <w:bottom w:val="single" w:sz="4" w:space="0" w:color="auto"/>
              <w:right w:val="nil"/>
            </w:tcBorders>
            <w:shd w:val="clear" w:color="auto" w:fill="auto"/>
            <w:noWrap/>
            <w:vAlign w:val="center"/>
            <w:hideMark/>
          </w:tcPr>
          <w:p w14:paraId="5CA13120"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$0</w:t>
            </w:r>
          </w:p>
        </w:tc>
        <w:tc>
          <w:tcPr>
            <w:tcW w:w="1433" w:type="dxa"/>
            <w:tcBorders>
              <w:top w:val="single" w:sz="4" w:space="0" w:color="auto"/>
              <w:left w:val="single" w:sz="4" w:space="0" w:color="auto"/>
              <w:bottom w:val="single" w:sz="4" w:space="0" w:color="auto"/>
            </w:tcBorders>
            <w:shd w:val="clear" w:color="auto" w:fill="auto"/>
            <w:noWrap/>
            <w:vAlign w:val="center"/>
            <w:hideMark/>
          </w:tcPr>
          <w:p w14:paraId="2EE6728A"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$945,920</w:t>
            </w:r>
          </w:p>
        </w:tc>
      </w:tr>
      <w:tr w:rsidR="00115CD6" w:rsidRPr="00115CD6" w14:paraId="30E9E66F" w14:textId="77777777" w:rsidTr="00A04FAA">
        <w:trPr>
          <w:trHeight w:val="1020"/>
        </w:trPr>
        <w:tc>
          <w:tcPr>
            <w:tcW w:w="1677" w:type="dxa"/>
            <w:tcBorders>
              <w:top w:val="nil"/>
              <w:left w:val="nil"/>
              <w:bottom w:val="single" w:sz="4" w:space="0" w:color="auto"/>
              <w:right w:val="nil"/>
            </w:tcBorders>
            <w:shd w:val="clear" w:color="auto" w:fill="auto"/>
            <w:vAlign w:val="center"/>
            <w:hideMark/>
          </w:tcPr>
          <w:p w14:paraId="7355B132" w14:textId="77777777" w:rsidR="00115CD6" w:rsidRPr="00115CD6" w:rsidRDefault="00115CD6" w:rsidP="00115CD6">
            <w:pPr>
              <w:rPr>
                <w:rFonts w:ascii="Arial" w:hAnsi="Arial" w:cs="Arial"/>
                <w:color w:val="000000"/>
                <w:sz w:val="18"/>
                <w:szCs w:val="18"/>
              </w:rPr>
            </w:pPr>
            <w:r w:rsidRPr="00115CD6">
              <w:rPr>
                <w:rFonts w:ascii="Arial" w:hAnsi="Arial" w:cs="Arial"/>
                <w:b/>
                <w:bCs/>
                <w:color w:val="000000"/>
                <w:sz w:val="18"/>
                <w:szCs w:val="18"/>
              </w:rPr>
              <w:t>Base Electrification</w:t>
            </w:r>
            <w:r w:rsidRPr="00115CD6">
              <w:rPr>
                <w:rFonts w:ascii="Arial" w:hAnsi="Arial" w:cs="Arial"/>
                <w:color w:val="000000"/>
                <w:sz w:val="18"/>
                <w:szCs w:val="18"/>
              </w:rPr>
              <w:br/>
            </w:r>
            <w:r w:rsidRPr="00115CD6">
              <w:rPr>
                <w:rFonts w:ascii="Arial" w:hAnsi="Arial" w:cs="Arial"/>
                <w:i/>
                <w:iCs/>
                <w:color w:val="000000"/>
                <w:sz w:val="18"/>
                <w:szCs w:val="18"/>
              </w:rPr>
              <w:t>(1142163)</w:t>
            </w:r>
          </w:p>
        </w:tc>
        <w:tc>
          <w:tcPr>
            <w:tcW w:w="2169" w:type="dxa"/>
            <w:tcBorders>
              <w:top w:val="nil"/>
              <w:left w:val="single" w:sz="4" w:space="0" w:color="auto"/>
              <w:bottom w:val="single" w:sz="4" w:space="0" w:color="auto"/>
              <w:right w:val="single" w:sz="4" w:space="0" w:color="auto"/>
            </w:tcBorders>
            <w:shd w:val="clear" w:color="auto" w:fill="auto"/>
            <w:vAlign w:val="center"/>
            <w:hideMark/>
          </w:tcPr>
          <w:p w14:paraId="397BC021" w14:textId="77777777" w:rsidR="00115CD6" w:rsidRPr="00115CD6" w:rsidRDefault="00115CD6" w:rsidP="00115CD6">
            <w:pPr>
              <w:rPr>
                <w:rFonts w:ascii="Arial" w:hAnsi="Arial" w:cs="Arial"/>
                <w:color w:val="000000"/>
                <w:sz w:val="18"/>
                <w:szCs w:val="18"/>
              </w:rPr>
            </w:pPr>
            <w:r w:rsidRPr="00115CD6">
              <w:rPr>
                <w:rFonts w:ascii="Arial" w:hAnsi="Arial" w:cs="Arial"/>
                <w:color w:val="000000"/>
                <w:sz w:val="18"/>
                <w:szCs w:val="18"/>
              </w:rPr>
              <w:t>Planning and design for conversion of Atlantic (2030) / Central (2028) Bases</w:t>
            </w:r>
          </w:p>
        </w:tc>
        <w:tc>
          <w:tcPr>
            <w:tcW w:w="1433" w:type="dxa"/>
            <w:tcBorders>
              <w:top w:val="nil"/>
              <w:left w:val="nil"/>
              <w:bottom w:val="single" w:sz="4" w:space="0" w:color="auto"/>
              <w:right w:val="nil"/>
            </w:tcBorders>
            <w:shd w:val="clear" w:color="auto" w:fill="auto"/>
            <w:noWrap/>
            <w:vAlign w:val="center"/>
            <w:hideMark/>
          </w:tcPr>
          <w:p w14:paraId="5B867A4B"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$12,039,400</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10E73F3"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$65,281,577</w:t>
            </w:r>
          </w:p>
        </w:tc>
        <w:tc>
          <w:tcPr>
            <w:tcW w:w="1433" w:type="dxa"/>
            <w:tcBorders>
              <w:top w:val="nil"/>
              <w:left w:val="nil"/>
              <w:bottom w:val="single" w:sz="4" w:space="0" w:color="auto"/>
              <w:right w:val="nil"/>
            </w:tcBorders>
            <w:shd w:val="clear" w:color="auto" w:fill="auto"/>
            <w:noWrap/>
            <w:vAlign w:val="center"/>
            <w:hideMark/>
          </w:tcPr>
          <w:p w14:paraId="32830FEA"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$56,425,331</w:t>
            </w:r>
          </w:p>
        </w:tc>
        <w:tc>
          <w:tcPr>
            <w:tcW w:w="1433" w:type="dxa"/>
            <w:tcBorders>
              <w:top w:val="single" w:sz="4" w:space="0" w:color="auto"/>
              <w:left w:val="single" w:sz="4" w:space="0" w:color="auto"/>
              <w:bottom w:val="single" w:sz="4" w:space="0" w:color="auto"/>
            </w:tcBorders>
            <w:shd w:val="clear" w:color="auto" w:fill="auto"/>
            <w:noWrap/>
            <w:vAlign w:val="center"/>
            <w:hideMark/>
          </w:tcPr>
          <w:p w14:paraId="6906474B"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$133,746,308</w:t>
            </w:r>
          </w:p>
        </w:tc>
      </w:tr>
      <w:tr w:rsidR="00115CD6" w:rsidRPr="00115CD6" w14:paraId="5AE2AD2F" w14:textId="77777777" w:rsidTr="00A04FAA">
        <w:trPr>
          <w:trHeight w:val="765"/>
        </w:trPr>
        <w:tc>
          <w:tcPr>
            <w:tcW w:w="1677" w:type="dxa"/>
            <w:tcBorders>
              <w:top w:val="nil"/>
              <w:left w:val="nil"/>
              <w:bottom w:val="single" w:sz="4" w:space="0" w:color="auto"/>
              <w:right w:val="nil"/>
            </w:tcBorders>
            <w:shd w:val="clear" w:color="auto" w:fill="auto"/>
            <w:vAlign w:val="center"/>
            <w:hideMark/>
          </w:tcPr>
          <w:p w14:paraId="1839F02A" w14:textId="77777777" w:rsidR="00115CD6" w:rsidRPr="00115CD6" w:rsidRDefault="00115CD6" w:rsidP="00115CD6">
            <w:pPr>
              <w:rPr>
                <w:rFonts w:ascii="Arial" w:hAnsi="Arial" w:cs="Arial"/>
                <w:color w:val="000000"/>
                <w:sz w:val="18"/>
                <w:szCs w:val="18"/>
              </w:rPr>
            </w:pPr>
            <w:r w:rsidRPr="00115CD6">
              <w:rPr>
                <w:rFonts w:ascii="Arial" w:hAnsi="Arial" w:cs="Arial"/>
                <w:b/>
                <w:bCs/>
                <w:color w:val="000000"/>
                <w:sz w:val="18"/>
                <w:szCs w:val="18"/>
              </w:rPr>
              <w:t>Energy Monitoring</w:t>
            </w:r>
            <w:r w:rsidRPr="00115CD6">
              <w:rPr>
                <w:rFonts w:ascii="Arial" w:hAnsi="Arial" w:cs="Arial"/>
                <w:color w:val="000000"/>
                <w:sz w:val="18"/>
                <w:szCs w:val="18"/>
              </w:rPr>
              <w:br/>
            </w:r>
            <w:r w:rsidRPr="00115CD6">
              <w:rPr>
                <w:rFonts w:ascii="Arial" w:hAnsi="Arial" w:cs="Arial"/>
                <w:i/>
                <w:iCs/>
                <w:color w:val="000000"/>
                <w:sz w:val="18"/>
                <w:szCs w:val="18"/>
              </w:rPr>
              <w:t>(1144118)</w:t>
            </w:r>
          </w:p>
        </w:tc>
        <w:tc>
          <w:tcPr>
            <w:tcW w:w="2169" w:type="dxa"/>
            <w:tcBorders>
              <w:top w:val="nil"/>
              <w:left w:val="single" w:sz="4" w:space="0" w:color="auto"/>
              <w:bottom w:val="single" w:sz="4" w:space="0" w:color="auto"/>
              <w:right w:val="single" w:sz="4" w:space="0" w:color="auto"/>
            </w:tcBorders>
            <w:shd w:val="clear" w:color="auto" w:fill="auto"/>
            <w:vAlign w:val="center"/>
            <w:hideMark/>
          </w:tcPr>
          <w:p w14:paraId="01BF4BCF" w14:textId="77777777" w:rsidR="00115CD6" w:rsidRPr="00115CD6" w:rsidRDefault="00115CD6" w:rsidP="00115CD6">
            <w:pPr>
              <w:rPr>
                <w:rFonts w:ascii="Arial" w:hAnsi="Arial" w:cs="Arial"/>
                <w:color w:val="000000"/>
                <w:sz w:val="18"/>
                <w:szCs w:val="18"/>
              </w:rPr>
            </w:pPr>
            <w:r w:rsidRPr="00115CD6">
              <w:rPr>
                <w:rFonts w:ascii="Arial" w:hAnsi="Arial" w:cs="Arial"/>
                <w:color w:val="000000"/>
                <w:sz w:val="18"/>
                <w:szCs w:val="18"/>
              </w:rPr>
              <w:t>IT: System to monitor and gather data on zero emissions revenue fleet</w:t>
            </w:r>
          </w:p>
        </w:tc>
        <w:tc>
          <w:tcPr>
            <w:tcW w:w="1433" w:type="dxa"/>
            <w:tcBorders>
              <w:top w:val="nil"/>
              <w:left w:val="nil"/>
              <w:bottom w:val="single" w:sz="4" w:space="0" w:color="auto"/>
              <w:right w:val="nil"/>
            </w:tcBorders>
            <w:shd w:val="clear" w:color="auto" w:fill="auto"/>
            <w:noWrap/>
            <w:vAlign w:val="center"/>
            <w:hideMark/>
          </w:tcPr>
          <w:p w14:paraId="22CC01CB"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$2,400,000</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76D8811"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$0</w:t>
            </w:r>
          </w:p>
        </w:tc>
        <w:tc>
          <w:tcPr>
            <w:tcW w:w="1433" w:type="dxa"/>
            <w:tcBorders>
              <w:top w:val="nil"/>
              <w:left w:val="nil"/>
              <w:bottom w:val="single" w:sz="4" w:space="0" w:color="auto"/>
              <w:right w:val="nil"/>
            </w:tcBorders>
            <w:shd w:val="clear" w:color="auto" w:fill="auto"/>
            <w:noWrap/>
            <w:vAlign w:val="center"/>
            <w:hideMark/>
          </w:tcPr>
          <w:p w14:paraId="1009AAF4"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$0</w:t>
            </w:r>
          </w:p>
        </w:tc>
        <w:tc>
          <w:tcPr>
            <w:tcW w:w="1433" w:type="dxa"/>
            <w:tcBorders>
              <w:top w:val="single" w:sz="4" w:space="0" w:color="auto"/>
              <w:left w:val="single" w:sz="4" w:space="0" w:color="auto"/>
              <w:bottom w:val="single" w:sz="4" w:space="0" w:color="auto"/>
            </w:tcBorders>
            <w:shd w:val="clear" w:color="auto" w:fill="auto"/>
            <w:noWrap/>
            <w:vAlign w:val="center"/>
            <w:hideMark/>
          </w:tcPr>
          <w:p w14:paraId="5DEFFDA6"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$2,400,000</w:t>
            </w:r>
          </w:p>
        </w:tc>
      </w:tr>
      <w:tr w:rsidR="00115CD6" w:rsidRPr="00115CD6" w14:paraId="08947E24" w14:textId="77777777" w:rsidTr="00A04FAA">
        <w:trPr>
          <w:trHeight w:val="1020"/>
        </w:trPr>
        <w:tc>
          <w:tcPr>
            <w:tcW w:w="1677" w:type="dxa"/>
            <w:tcBorders>
              <w:top w:val="nil"/>
              <w:left w:val="nil"/>
              <w:bottom w:val="single" w:sz="4" w:space="0" w:color="auto"/>
              <w:right w:val="nil"/>
            </w:tcBorders>
            <w:shd w:val="clear" w:color="auto" w:fill="auto"/>
            <w:vAlign w:val="center"/>
            <w:hideMark/>
          </w:tcPr>
          <w:p w14:paraId="451AC2C9" w14:textId="77777777" w:rsidR="00115CD6" w:rsidRPr="00115CD6" w:rsidRDefault="00115CD6" w:rsidP="00115CD6">
            <w:pPr>
              <w:rPr>
                <w:rFonts w:ascii="Arial" w:hAnsi="Arial" w:cs="Arial"/>
                <w:color w:val="000000"/>
                <w:sz w:val="18"/>
                <w:szCs w:val="18"/>
              </w:rPr>
            </w:pPr>
            <w:r w:rsidRPr="00115CD6">
              <w:rPr>
                <w:rFonts w:ascii="Arial" w:hAnsi="Arial" w:cs="Arial"/>
                <w:b/>
                <w:bCs/>
                <w:color w:val="000000"/>
                <w:sz w:val="18"/>
                <w:szCs w:val="18"/>
              </w:rPr>
              <w:t>Yard Management</w:t>
            </w:r>
            <w:r w:rsidRPr="00115CD6">
              <w:rPr>
                <w:rFonts w:ascii="Arial" w:hAnsi="Arial" w:cs="Arial"/>
                <w:color w:val="000000"/>
                <w:sz w:val="18"/>
                <w:szCs w:val="18"/>
              </w:rPr>
              <w:br/>
            </w:r>
            <w:r w:rsidRPr="00115CD6">
              <w:rPr>
                <w:rFonts w:ascii="Arial" w:hAnsi="Arial" w:cs="Arial"/>
                <w:i/>
                <w:iCs/>
                <w:color w:val="000000"/>
                <w:sz w:val="18"/>
                <w:szCs w:val="18"/>
              </w:rPr>
              <w:t>(1144127)</w:t>
            </w:r>
          </w:p>
        </w:tc>
        <w:tc>
          <w:tcPr>
            <w:tcW w:w="2169" w:type="dxa"/>
            <w:tcBorders>
              <w:top w:val="nil"/>
              <w:left w:val="single" w:sz="4" w:space="0" w:color="auto"/>
              <w:bottom w:val="single" w:sz="4" w:space="0" w:color="auto"/>
              <w:right w:val="single" w:sz="4" w:space="0" w:color="auto"/>
            </w:tcBorders>
            <w:shd w:val="clear" w:color="auto" w:fill="auto"/>
            <w:vAlign w:val="center"/>
            <w:hideMark/>
          </w:tcPr>
          <w:p w14:paraId="2EAF6346" w14:textId="77777777" w:rsidR="00115CD6" w:rsidRPr="00115CD6" w:rsidRDefault="00115CD6" w:rsidP="00115CD6">
            <w:pPr>
              <w:rPr>
                <w:rFonts w:ascii="Arial" w:hAnsi="Arial" w:cs="Arial"/>
                <w:color w:val="000000"/>
                <w:sz w:val="18"/>
                <w:szCs w:val="18"/>
              </w:rPr>
            </w:pPr>
            <w:r w:rsidRPr="00115CD6">
              <w:rPr>
                <w:rFonts w:ascii="Arial" w:hAnsi="Arial" w:cs="Arial"/>
                <w:color w:val="000000"/>
                <w:sz w:val="18"/>
                <w:szCs w:val="18"/>
              </w:rPr>
              <w:t>IT: Software to coordinate battery electric bus charging and dispatching</w:t>
            </w:r>
          </w:p>
        </w:tc>
        <w:tc>
          <w:tcPr>
            <w:tcW w:w="1433" w:type="dxa"/>
            <w:tcBorders>
              <w:top w:val="nil"/>
              <w:left w:val="nil"/>
              <w:bottom w:val="single" w:sz="4" w:space="0" w:color="auto"/>
              <w:right w:val="nil"/>
            </w:tcBorders>
            <w:shd w:val="clear" w:color="auto" w:fill="auto"/>
            <w:noWrap/>
            <w:vAlign w:val="center"/>
            <w:hideMark/>
          </w:tcPr>
          <w:p w14:paraId="19804E7F"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$4,800,000</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A501E59"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$0</w:t>
            </w:r>
          </w:p>
        </w:tc>
        <w:tc>
          <w:tcPr>
            <w:tcW w:w="1433" w:type="dxa"/>
            <w:tcBorders>
              <w:top w:val="nil"/>
              <w:left w:val="nil"/>
              <w:bottom w:val="single" w:sz="4" w:space="0" w:color="auto"/>
              <w:right w:val="nil"/>
            </w:tcBorders>
            <w:shd w:val="clear" w:color="auto" w:fill="auto"/>
            <w:noWrap/>
            <w:vAlign w:val="center"/>
            <w:hideMark/>
          </w:tcPr>
          <w:p w14:paraId="1EA92FB9"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$0</w:t>
            </w:r>
          </w:p>
        </w:tc>
        <w:tc>
          <w:tcPr>
            <w:tcW w:w="1433" w:type="dxa"/>
            <w:tcBorders>
              <w:top w:val="single" w:sz="4" w:space="0" w:color="auto"/>
              <w:left w:val="single" w:sz="4" w:space="0" w:color="auto"/>
              <w:bottom w:val="single" w:sz="4" w:space="0" w:color="auto"/>
            </w:tcBorders>
            <w:shd w:val="clear" w:color="auto" w:fill="auto"/>
            <w:noWrap/>
            <w:vAlign w:val="center"/>
            <w:hideMark/>
          </w:tcPr>
          <w:p w14:paraId="5B989B8E"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$4,800,000</w:t>
            </w:r>
          </w:p>
        </w:tc>
      </w:tr>
      <w:tr w:rsidR="00115CD6" w:rsidRPr="00115CD6" w14:paraId="322488D5" w14:textId="77777777" w:rsidTr="00A04FAA">
        <w:trPr>
          <w:trHeight w:val="765"/>
        </w:trPr>
        <w:tc>
          <w:tcPr>
            <w:tcW w:w="1677" w:type="dxa"/>
            <w:tcBorders>
              <w:top w:val="nil"/>
              <w:left w:val="nil"/>
              <w:bottom w:val="single" w:sz="4" w:space="0" w:color="auto"/>
              <w:right w:val="nil"/>
            </w:tcBorders>
            <w:shd w:val="clear" w:color="auto" w:fill="auto"/>
            <w:vAlign w:val="center"/>
            <w:hideMark/>
          </w:tcPr>
          <w:p w14:paraId="43B7DF9A" w14:textId="77777777" w:rsidR="00115CD6" w:rsidRPr="00115CD6" w:rsidRDefault="00115CD6" w:rsidP="00115CD6">
            <w:pPr>
              <w:rPr>
                <w:rFonts w:ascii="Arial" w:hAnsi="Arial" w:cs="Arial"/>
                <w:color w:val="000000"/>
                <w:sz w:val="18"/>
                <w:szCs w:val="18"/>
              </w:rPr>
            </w:pPr>
            <w:r w:rsidRPr="00115CD6">
              <w:rPr>
                <w:rFonts w:ascii="Arial" w:hAnsi="Arial" w:cs="Arial"/>
                <w:b/>
                <w:bCs/>
                <w:color w:val="000000"/>
                <w:sz w:val="18"/>
                <w:szCs w:val="18"/>
              </w:rPr>
              <w:t>East Base Electrify</w:t>
            </w:r>
            <w:r w:rsidRPr="00115CD6">
              <w:rPr>
                <w:rFonts w:ascii="Arial" w:hAnsi="Arial" w:cs="Arial"/>
                <w:color w:val="000000"/>
                <w:sz w:val="18"/>
                <w:szCs w:val="18"/>
              </w:rPr>
              <w:br/>
            </w:r>
            <w:r w:rsidRPr="00115CD6">
              <w:rPr>
                <w:rFonts w:ascii="Arial" w:hAnsi="Arial" w:cs="Arial"/>
                <w:i/>
                <w:iCs/>
                <w:color w:val="000000"/>
                <w:sz w:val="18"/>
                <w:szCs w:val="18"/>
              </w:rPr>
              <w:t>(1144128)</w:t>
            </w:r>
          </w:p>
        </w:tc>
        <w:tc>
          <w:tcPr>
            <w:tcW w:w="2169" w:type="dxa"/>
            <w:tcBorders>
              <w:top w:val="nil"/>
              <w:left w:val="single" w:sz="4" w:space="0" w:color="auto"/>
              <w:bottom w:val="single" w:sz="4" w:space="0" w:color="auto"/>
              <w:right w:val="single" w:sz="4" w:space="0" w:color="auto"/>
            </w:tcBorders>
            <w:shd w:val="clear" w:color="auto" w:fill="auto"/>
            <w:vAlign w:val="center"/>
            <w:hideMark/>
          </w:tcPr>
          <w:p w14:paraId="0009FD74" w14:textId="77777777" w:rsidR="00115CD6" w:rsidRPr="00115CD6" w:rsidRDefault="00115CD6" w:rsidP="00115CD6">
            <w:pPr>
              <w:rPr>
                <w:rFonts w:ascii="Arial" w:hAnsi="Arial" w:cs="Arial"/>
                <w:color w:val="000000"/>
                <w:sz w:val="18"/>
                <w:szCs w:val="18"/>
              </w:rPr>
            </w:pPr>
            <w:r w:rsidRPr="00115CD6">
              <w:rPr>
                <w:rFonts w:ascii="Arial" w:hAnsi="Arial" w:cs="Arial"/>
                <w:color w:val="000000"/>
                <w:sz w:val="18"/>
                <w:szCs w:val="18"/>
              </w:rPr>
              <w:t>Planning and design for conversion of East Base (2030)</w:t>
            </w:r>
          </w:p>
        </w:tc>
        <w:tc>
          <w:tcPr>
            <w:tcW w:w="1433" w:type="dxa"/>
            <w:tcBorders>
              <w:top w:val="nil"/>
              <w:left w:val="nil"/>
              <w:bottom w:val="single" w:sz="4" w:space="0" w:color="auto"/>
              <w:right w:val="nil"/>
            </w:tcBorders>
            <w:shd w:val="clear" w:color="auto" w:fill="auto"/>
            <w:noWrap/>
            <w:vAlign w:val="center"/>
            <w:hideMark/>
          </w:tcPr>
          <w:p w14:paraId="1A4CEAD7"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$4,071,080</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3D9E737"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$11,570,949</w:t>
            </w:r>
          </w:p>
        </w:tc>
        <w:tc>
          <w:tcPr>
            <w:tcW w:w="1433" w:type="dxa"/>
            <w:tcBorders>
              <w:top w:val="nil"/>
              <w:left w:val="nil"/>
              <w:bottom w:val="single" w:sz="4" w:space="0" w:color="auto"/>
              <w:right w:val="nil"/>
            </w:tcBorders>
            <w:shd w:val="clear" w:color="auto" w:fill="auto"/>
            <w:noWrap/>
            <w:vAlign w:val="center"/>
            <w:hideMark/>
          </w:tcPr>
          <w:p w14:paraId="2987F773"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$87,280,569</w:t>
            </w:r>
          </w:p>
        </w:tc>
        <w:tc>
          <w:tcPr>
            <w:tcW w:w="1433" w:type="dxa"/>
            <w:tcBorders>
              <w:top w:val="single" w:sz="4" w:space="0" w:color="auto"/>
              <w:left w:val="single" w:sz="4" w:space="0" w:color="auto"/>
              <w:bottom w:val="single" w:sz="4" w:space="0" w:color="auto"/>
            </w:tcBorders>
            <w:shd w:val="clear" w:color="auto" w:fill="auto"/>
            <w:noWrap/>
            <w:vAlign w:val="center"/>
            <w:hideMark/>
          </w:tcPr>
          <w:p w14:paraId="602CCF96"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$102,922,598</w:t>
            </w:r>
          </w:p>
        </w:tc>
      </w:tr>
      <w:tr w:rsidR="00115CD6" w:rsidRPr="00115CD6" w14:paraId="616C04D7" w14:textId="77777777" w:rsidTr="00A04FAA">
        <w:trPr>
          <w:trHeight w:val="765"/>
        </w:trPr>
        <w:tc>
          <w:tcPr>
            <w:tcW w:w="1677" w:type="dxa"/>
            <w:tcBorders>
              <w:top w:val="nil"/>
              <w:left w:val="nil"/>
              <w:bottom w:val="single" w:sz="4" w:space="0" w:color="auto"/>
              <w:right w:val="nil"/>
            </w:tcBorders>
            <w:shd w:val="clear" w:color="auto" w:fill="auto"/>
            <w:vAlign w:val="center"/>
            <w:hideMark/>
          </w:tcPr>
          <w:p w14:paraId="3EA216F7" w14:textId="77777777" w:rsidR="00115CD6" w:rsidRPr="00115CD6" w:rsidRDefault="00115CD6" w:rsidP="00115CD6">
            <w:pPr>
              <w:rPr>
                <w:rFonts w:ascii="Arial" w:hAnsi="Arial" w:cs="Arial"/>
                <w:color w:val="000000"/>
                <w:sz w:val="18"/>
                <w:szCs w:val="18"/>
              </w:rPr>
            </w:pPr>
            <w:r w:rsidRPr="00115CD6">
              <w:rPr>
                <w:rFonts w:ascii="Arial" w:hAnsi="Arial" w:cs="Arial"/>
                <w:b/>
                <w:bCs/>
                <w:color w:val="000000"/>
                <w:sz w:val="18"/>
                <w:szCs w:val="18"/>
              </w:rPr>
              <w:lastRenderedPageBreak/>
              <w:t>South Base Electrify</w:t>
            </w:r>
            <w:r w:rsidRPr="00115CD6">
              <w:rPr>
                <w:rFonts w:ascii="Arial" w:hAnsi="Arial" w:cs="Arial"/>
                <w:color w:val="000000"/>
                <w:sz w:val="18"/>
                <w:szCs w:val="18"/>
              </w:rPr>
              <w:br/>
            </w:r>
            <w:r w:rsidRPr="00115CD6">
              <w:rPr>
                <w:rFonts w:ascii="Arial" w:hAnsi="Arial" w:cs="Arial"/>
                <w:i/>
                <w:iCs/>
                <w:color w:val="000000"/>
                <w:sz w:val="18"/>
                <w:szCs w:val="18"/>
              </w:rPr>
              <w:t>(1144141)</w:t>
            </w:r>
          </w:p>
        </w:tc>
        <w:tc>
          <w:tcPr>
            <w:tcW w:w="2169" w:type="dxa"/>
            <w:tcBorders>
              <w:top w:val="nil"/>
              <w:left w:val="single" w:sz="4" w:space="0" w:color="auto"/>
              <w:bottom w:val="single" w:sz="4" w:space="0" w:color="auto"/>
              <w:right w:val="single" w:sz="4" w:space="0" w:color="auto"/>
            </w:tcBorders>
            <w:shd w:val="clear" w:color="auto" w:fill="auto"/>
            <w:vAlign w:val="center"/>
            <w:hideMark/>
          </w:tcPr>
          <w:p w14:paraId="6B57D56C" w14:textId="77777777" w:rsidR="00115CD6" w:rsidRPr="00115CD6" w:rsidRDefault="00115CD6" w:rsidP="00115CD6">
            <w:pPr>
              <w:rPr>
                <w:rFonts w:ascii="Arial" w:hAnsi="Arial" w:cs="Arial"/>
                <w:color w:val="000000"/>
                <w:sz w:val="18"/>
                <w:szCs w:val="18"/>
              </w:rPr>
            </w:pPr>
            <w:r w:rsidRPr="00115CD6">
              <w:rPr>
                <w:rFonts w:ascii="Arial" w:hAnsi="Arial" w:cs="Arial"/>
                <w:color w:val="000000"/>
                <w:sz w:val="18"/>
                <w:szCs w:val="18"/>
              </w:rPr>
              <w:t>Planning and design for conversion of South Base (2032)</w:t>
            </w:r>
          </w:p>
        </w:tc>
        <w:tc>
          <w:tcPr>
            <w:tcW w:w="1433" w:type="dxa"/>
            <w:tcBorders>
              <w:top w:val="nil"/>
              <w:left w:val="nil"/>
              <w:bottom w:val="single" w:sz="4" w:space="0" w:color="auto"/>
              <w:right w:val="nil"/>
            </w:tcBorders>
            <w:shd w:val="clear" w:color="auto" w:fill="auto"/>
            <w:noWrap/>
            <w:vAlign w:val="center"/>
            <w:hideMark/>
          </w:tcPr>
          <w:p w14:paraId="23A38C51"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$0</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44AD179"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$4,068,171</w:t>
            </w:r>
          </w:p>
        </w:tc>
        <w:tc>
          <w:tcPr>
            <w:tcW w:w="1433" w:type="dxa"/>
            <w:tcBorders>
              <w:top w:val="nil"/>
              <w:left w:val="nil"/>
              <w:bottom w:val="single" w:sz="4" w:space="0" w:color="auto"/>
              <w:right w:val="nil"/>
            </w:tcBorders>
            <w:shd w:val="clear" w:color="auto" w:fill="auto"/>
            <w:noWrap/>
            <w:vAlign w:val="center"/>
            <w:hideMark/>
          </w:tcPr>
          <w:p w14:paraId="5552E4D3"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$10,865,480</w:t>
            </w:r>
          </w:p>
        </w:tc>
        <w:tc>
          <w:tcPr>
            <w:tcW w:w="1433" w:type="dxa"/>
            <w:tcBorders>
              <w:top w:val="single" w:sz="4" w:space="0" w:color="auto"/>
              <w:left w:val="single" w:sz="4" w:space="0" w:color="auto"/>
              <w:bottom w:val="single" w:sz="4" w:space="0" w:color="auto"/>
            </w:tcBorders>
            <w:shd w:val="clear" w:color="auto" w:fill="auto"/>
            <w:noWrap/>
            <w:vAlign w:val="center"/>
            <w:hideMark/>
          </w:tcPr>
          <w:p w14:paraId="682152A2"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$14,933,651</w:t>
            </w:r>
          </w:p>
        </w:tc>
      </w:tr>
      <w:tr w:rsidR="00115CD6" w:rsidRPr="00115CD6" w14:paraId="2B15CB3D" w14:textId="77777777" w:rsidTr="00A04FAA">
        <w:trPr>
          <w:trHeight w:val="765"/>
        </w:trPr>
        <w:tc>
          <w:tcPr>
            <w:tcW w:w="1677" w:type="dxa"/>
            <w:tcBorders>
              <w:top w:val="nil"/>
              <w:left w:val="nil"/>
              <w:bottom w:val="single" w:sz="4" w:space="0" w:color="auto"/>
              <w:right w:val="nil"/>
            </w:tcBorders>
            <w:shd w:val="clear" w:color="auto" w:fill="auto"/>
            <w:vAlign w:val="center"/>
            <w:hideMark/>
          </w:tcPr>
          <w:p w14:paraId="08028CD7" w14:textId="77777777" w:rsidR="00115CD6" w:rsidRPr="00115CD6" w:rsidRDefault="00115CD6" w:rsidP="00115CD6">
            <w:pPr>
              <w:rPr>
                <w:rFonts w:ascii="Arial" w:hAnsi="Arial" w:cs="Arial"/>
                <w:color w:val="000000"/>
                <w:sz w:val="18"/>
                <w:szCs w:val="18"/>
              </w:rPr>
            </w:pPr>
            <w:r w:rsidRPr="00115CD6">
              <w:rPr>
                <w:rFonts w:ascii="Arial" w:hAnsi="Arial" w:cs="Arial"/>
                <w:b/>
                <w:bCs/>
                <w:color w:val="000000"/>
                <w:sz w:val="18"/>
                <w:szCs w:val="18"/>
              </w:rPr>
              <w:t>Ryerson Base Electrify</w:t>
            </w:r>
            <w:r w:rsidRPr="00115CD6">
              <w:rPr>
                <w:rFonts w:ascii="Arial" w:hAnsi="Arial" w:cs="Arial"/>
                <w:color w:val="000000"/>
                <w:sz w:val="18"/>
                <w:szCs w:val="18"/>
              </w:rPr>
              <w:br/>
            </w:r>
            <w:r w:rsidRPr="00115CD6">
              <w:rPr>
                <w:rFonts w:ascii="Arial" w:hAnsi="Arial" w:cs="Arial"/>
                <w:i/>
                <w:iCs/>
                <w:color w:val="000000"/>
                <w:sz w:val="18"/>
                <w:szCs w:val="18"/>
              </w:rPr>
              <w:t>(1144142)</w:t>
            </w:r>
          </w:p>
        </w:tc>
        <w:tc>
          <w:tcPr>
            <w:tcW w:w="2169" w:type="dxa"/>
            <w:tcBorders>
              <w:top w:val="nil"/>
              <w:left w:val="single" w:sz="4" w:space="0" w:color="auto"/>
              <w:bottom w:val="single" w:sz="4" w:space="0" w:color="auto"/>
              <w:right w:val="single" w:sz="4" w:space="0" w:color="auto"/>
            </w:tcBorders>
            <w:shd w:val="clear" w:color="auto" w:fill="auto"/>
            <w:vAlign w:val="center"/>
            <w:hideMark/>
          </w:tcPr>
          <w:p w14:paraId="64E1DAB0" w14:textId="77777777" w:rsidR="00115CD6" w:rsidRPr="00115CD6" w:rsidRDefault="00115CD6" w:rsidP="00115CD6">
            <w:pPr>
              <w:rPr>
                <w:rFonts w:ascii="Arial" w:hAnsi="Arial" w:cs="Arial"/>
                <w:color w:val="000000"/>
                <w:sz w:val="18"/>
                <w:szCs w:val="18"/>
              </w:rPr>
            </w:pPr>
            <w:r w:rsidRPr="00115CD6">
              <w:rPr>
                <w:rFonts w:ascii="Arial" w:hAnsi="Arial" w:cs="Arial"/>
                <w:color w:val="000000"/>
                <w:sz w:val="18"/>
                <w:szCs w:val="18"/>
              </w:rPr>
              <w:t>Planning and design for conversion of Ryerson Base (2034)</w:t>
            </w:r>
          </w:p>
        </w:tc>
        <w:tc>
          <w:tcPr>
            <w:tcW w:w="1433" w:type="dxa"/>
            <w:tcBorders>
              <w:top w:val="nil"/>
              <w:left w:val="nil"/>
              <w:bottom w:val="single" w:sz="4" w:space="0" w:color="auto"/>
              <w:right w:val="nil"/>
            </w:tcBorders>
            <w:shd w:val="clear" w:color="auto" w:fill="auto"/>
            <w:noWrap/>
            <w:vAlign w:val="center"/>
            <w:hideMark/>
          </w:tcPr>
          <w:p w14:paraId="478F6FD3"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$0</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4C1BBFB"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$0</w:t>
            </w:r>
          </w:p>
        </w:tc>
        <w:tc>
          <w:tcPr>
            <w:tcW w:w="1433" w:type="dxa"/>
            <w:tcBorders>
              <w:top w:val="nil"/>
              <w:left w:val="nil"/>
              <w:bottom w:val="single" w:sz="4" w:space="0" w:color="auto"/>
              <w:right w:val="nil"/>
            </w:tcBorders>
            <w:shd w:val="clear" w:color="auto" w:fill="auto"/>
            <w:noWrap/>
            <w:vAlign w:val="center"/>
            <w:hideMark/>
          </w:tcPr>
          <w:p w14:paraId="77556D36"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$3,767,014</w:t>
            </w:r>
          </w:p>
        </w:tc>
        <w:tc>
          <w:tcPr>
            <w:tcW w:w="1433" w:type="dxa"/>
            <w:tcBorders>
              <w:top w:val="single" w:sz="4" w:space="0" w:color="auto"/>
              <w:left w:val="single" w:sz="4" w:space="0" w:color="auto"/>
              <w:bottom w:val="single" w:sz="4" w:space="0" w:color="auto"/>
            </w:tcBorders>
            <w:shd w:val="clear" w:color="auto" w:fill="auto"/>
            <w:noWrap/>
            <w:vAlign w:val="center"/>
            <w:hideMark/>
          </w:tcPr>
          <w:p w14:paraId="234BB970"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$3,767,014</w:t>
            </w:r>
          </w:p>
        </w:tc>
      </w:tr>
      <w:tr w:rsidR="00115CD6" w:rsidRPr="00115CD6" w14:paraId="73539475" w14:textId="77777777" w:rsidTr="00A04FAA">
        <w:trPr>
          <w:trHeight w:val="1020"/>
        </w:trPr>
        <w:tc>
          <w:tcPr>
            <w:tcW w:w="1677" w:type="dxa"/>
            <w:tcBorders>
              <w:top w:val="nil"/>
              <w:left w:val="nil"/>
              <w:bottom w:val="single" w:sz="4" w:space="0" w:color="auto"/>
              <w:right w:val="nil"/>
            </w:tcBorders>
            <w:shd w:val="clear" w:color="auto" w:fill="auto"/>
            <w:vAlign w:val="center"/>
            <w:hideMark/>
          </w:tcPr>
          <w:p w14:paraId="7E22BCEC" w14:textId="77777777" w:rsidR="00115CD6" w:rsidRPr="00115CD6" w:rsidRDefault="00115CD6" w:rsidP="00115CD6">
            <w:pPr>
              <w:rPr>
                <w:rFonts w:ascii="Arial" w:hAnsi="Arial" w:cs="Arial"/>
                <w:color w:val="000000"/>
                <w:sz w:val="18"/>
                <w:szCs w:val="18"/>
              </w:rPr>
            </w:pPr>
            <w:r w:rsidRPr="00115CD6">
              <w:rPr>
                <w:rFonts w:ascii="Arial" w:hAnsi="Arial" w:cs="Arial"/>
                <w:b/>
                <w:bCs/>
                <w:color w:val="000000"/>
                <w:sz w:val="18"/>
                <w:szCs w:val="18"/>
              </w:rPr>
              <w:t>Burien Layover Expansion and Charging</w:t>
            </w:r>
            <w:r w:rsidRPr="00115CD6">
              <w:rPr>
                <w:rFonts w:ascii="Arial" w:hAnsi="Arial" w:cs="Arial"/>
                <w:color w:val="000000"/>
                <w:sz w:val="18"/>
                <w:szCs w:val="18"/>
              </w:rPr>
              <w:br/>
            </w:r>
            <w:r w:rsidRPr="00115CD6">
              <w:rPr>
                <w:rFonts w:ascii="Arial" w:hAnsi="Arial" w:cs="Arial"/>
                <w:i/>
                <w:iCs/>
                <w:color w:val="000000"/>
                <w:sz w:val="18"/>
                <w:szCs w:val="18"/>
              </w:rPr>
              <w:t>(1144143)</w:t>
            </w:r>
          </w:p>
        </w:tc>
        <w:tc>
          <w:tcPr>
            <w:tcW w:w="2169" w:type="dxa"/>
            <w:tcBorders>
              <w:top w:val="nil"/>
              <w:left w:val="single" w:sz="4" w:space="0" w:color="auto"/>
              <w:bottom w:val="single" w:sz="4" w:space="0" w:color="auto"/>
              <w:right w:val="single" w:sz="4" w:space="0" w:color="auto"/>
            </w:tcBorders>
            <w:shd w:val="clear" w:color="auto" w:fill="auto"/>
            <w:vAlign w:val="center"/>
            <w:hideMark/>
          </w:tcPr>
          <w:p w14:paraId="15B69ACE" w14:textId="77777777" w:rsidR="00115CD6" w:rsidRPr="00115CD6" w:rsidRDefault="00115CD6" w:rsidP="00115CD6">
            <w:pPr>
              <w:rPr>
                <w:rFonts w:ascii="Arial" w:hAnsi="Arial" w:cs="Arial"/>
                <w:color w:val="000000"/>
                <w:sz w:val="18"/>
                <w:szCs w:val="18"/>
              </w:rPr>
            </w:pPr>
            <w:r w:rsidRPr="00115CD6">
              <w:rPr>
                <w:rFonts w:ascii="Arial" w:hAnsi="Arial" w:cs="Arial"/>
                <w:color w:val="000000"/>
                <w:sz w:val="18"/>
                <w:szCs w:val="18"/>
              </w:rPr>
              <w:t>Expand Burien TC off-street layover to support layover charging</w:t>
            </w:r>
          </w:p>
        </w:tc>
        <w:tc>
          <w:tcPr>
            <w:tcW w:w="1433" w:type="dxa"/>
            <w:tcBorders>
              <w:top w:val="nil"/>
              <w:left w:val="nil"/>
              <w:bottom w:val="single" w:sz="4" w:space="0" w:color="auto"/>
              <w:right w:val="nil"/>
            </w:tcBorders>
            <w:shd w:val="clear" w:color="auto" w:fill="auto"/>
            <w:noWrap/>
            <w:vAlign w:val="center"/>
            <w:hideMark/>
          </w:tcPr>
          <w:p w14:paraId="195D8810"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$0</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4397C45"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$2,654,773</w:t>
            </w:r>
          </w:p>
        </w:tc>
        <w:tc>
          <w:tcPr>
            <w:tcW w:w="1433" w:type="dxa"/>
            <w:tcBorders>
              <w:top w:val="nil"/>
              <w:left w:val="nil"/>
              <w:bottom w:val="single" w:sz="4" w:space="0" w:color="auto"/>
              <w:right w:val="nil"/>
            </w:tcBorders>
            <w:shd w:val="clear" w:color="auto" w:fill="auto"/>
            <w:noWrap/>
            <w:vAlign w:val="center"/>
            <w:hideMark/>
          </w:tcPr>
          <w:p w14:paraId="1C612E39"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$2,448,175</w:t>
            </w:r>
          </w:p>
        </w:tc>
        <w:tc>
          <w:tcPr>
            <w:tcW w:w="1433" w:type="dxa"/>
            <w:tcBorders>
              <w:top w:val="single" w:sz="4" w:space="0" w:color="auto"/>
              <w:left w:val="single" w:sz="4" w:space="0" w:color="auto"/>
              <w:bottom w:val="single" w:sz="4" w:space="0" w:color="auto"/>
            </w:tcBorders>
            <w:shd w:val="clear" w:color="auto" w:fill="auto"/>
            <w:noWrap/>
            <w:vAlign w:val="center"/>
            <w:hideMark/>
          </w:tcPr>
          <w:p w14:paraId="5736FB4D"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$5,102,948</w:t>
            </w:r>
          </w:p>
        </w:tc>
      </w:tr>
      <w:tr w:rsidR="00115CD6" w:rsidRPr="00115CD6" w14:paraId="33B8AEAB" w14:textId="77777777" w:rsidTr="00A04FAA">
        <w:trPr>
          <w:trHeight w:val="765"/>
        </w:trPr>
        <w:tc>
          <w:tcPr>
            <w:tcW w:w="1677" w:type="dxa"/>
            <w:tcBorders>
              <w:top w:val="nil"/>
              <w:left w:val="nil"/>
              <w:bottom w:val="single" w:sz="4" w:space="0" w:color="auto"/>
              <w:right w:val="nil"/>
            </w:tcBorders>
            <w:shd w:val="clear" w:color="auto" w:fill="auto"/>
            <w:vAlign w:val="center"/>
            <w:hideMark/>
          </w:tcPr>
          <w:p w14:paraId="68734463" w14:textId="77777777" w:rsidR="00115CD6" w:rsidRPr="00115CD6" w:rsidRDefault="00115CD6" w:rsidP="00115CD6">
            <w:pPr>
              <w:rPr>
                <w:rFonts w:ascii="Arial" w:hAnsi="Arial" w:cs="Arial"/>
                <w:color w:val="000000"/>
                <w:sz w:val="18"/>
                <w:szCs w:val="18"/>
              </w:rPr>
            </w:pPr>
            <w:r w:rsidRPr="00115CD6">
              <w:rPr>
                <w:rFonts w:ascii="Arial" w:hAnsi="Arial" w:cs="Arial"/>
                <w:b/>
                <w:bCs/>
                <w:color w:val="000000"/>
                <w:sz w:val="18"/>
                <w:szCs w:val="18"/>
              </w:rPr>
              <w:t>Atlantic Base Electrify</w:t>
            </w:r>
            <w:r w:rsidRPr="00115CD6">
              <w:rPr>
                <w:rFonts w:ascii="Arial" w:hAnsi="Arial" w:cs="Arial"/>
                <w:color w:val="000000"/>
                <w:sz w:val="18"/>
                <w:szCs w:val="18"/>
              </w:rPr>
              <w:br/>
            </w:r>
            <w:r w:rsidRPr="00115CD6">
              <w:rPr>
                <w:rFonts w:ascii="Arial" w:hAnsi="Arial" w:cs="Arial"/>
                <w:i/>
                <w:iCs/>
                <w:color w:val="000000"/>
                <w:sz w:val="18"/>
                <w:szCs w:val="18"/>
              </w:rPr>
              <w:t>(1144144)</w:t>
            </w:r>
          </w:p>
        </w:tc>
        <w:tc>
          <w:tcPr>
            <w:tcW w:w="2169" w:type="dxa"/>
            <w:tcBorders>
              <w:top w:val="nil"/>
              <w:left w:val="single" w:sz="4" w:space="0" w:color="auto"/>
              <w:bottom w:val="single" w:sz="4" w:space="0" w:color="auto"/>
              <w:right w:val="single" w:sz="4" w:space="0" w:color="auto"/>
            </w:tcBorders>
            <w:shd w:val="clear" w:color="auto" w:fill="auto"/>
            <w:vAlign w:val="center"/>
            <w:hideMark/>
          </w:tcPr>
          <w:p w14:paraId="29137BC8" w14:textId="77777777" w:rsidR="00115CD6" w:rsidRPr="00115CD6" w:rsidRDefault="00115CD6" w:rsidP="00115CD6">
            <w:pPr>
              <w:rPr>
                <w:rFonts w:ascii="Arial" w:hAnsi="Arial" w:cs="Arial"/>
                <w:color w:val="000000"/>
                <w:sz w:val="18"/>
                <w:szCs w:val="18"/>
              </w:rPr>
            </w:pPr>
            <w:r w:rsidRPr="00115CD6">
              <w:rPr>
                <w:rFonts w:ascii="Arial" w:hAnsi="Arial" w:cs="Arial"/>
                <w:color w:val="000000"/>
                <w:sz w:val="18"/>
                <w:szCs w:val="18"/>
              </w:rPr>
              <w:t>Planning and design for conversion of Atlantic Base (2030)</w:t>
            </w:r>
          </w:p>
        </w:tc>
        <w:tc>
          <w:tcPr>
            <w:tcW w:w="1433" w:type="dxa"/>
            <w:tcBorders>
              <w:top w:val="nil"/>
              <w:left w:val="nil"/>
              <w:bottom w:val="single" w:sz="4" w:space="0" w:color="auto"/>
              <w:right w:val="nil"/>
            </w:tcBorders>
            <w:shd w:val="clear" w:color="auto" w:fill="auto"/>
            <w:noWrap/>
            <w:vAlign w:val="center"/>
            <w:hideMark/>
          </w:tcPr>
          <w:p w14:paraId="6B807E1F"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$0</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B735CA1"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$0</w:t>
            </w:r>
          </w:p>
        </w:tc>
        <w:tc>
          <w:tcPr>
            <w:tcW w:w="1433" w:type="dxa"/>
            <w:tcBorders>
              <w:top w:val="nil"/>
              <w:left w:val="nil"/>
              <w:bottom w:val="single" w:sz="4" w:space="0" w:color="auto"/>
              <w:right w:val="nil"/>
            </w:tcBorders>
            <w:shd w:val="clear" w:color="auto" w:fill="auto"/>
            <w:noWrap/>
            <w:vAlign w:val="center"/>
            <w:hideMark/>
          </w:tcPr>
          <w:p w14:paraId="53B55F95"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$36,044,914</w:t>
            </w:r>
          </w:p>
        </w:tc>
        <w:tc>
          <w:tcPr>
            <w:tcW w:w="1433" w:type="dxa"/>
            <w:tcBorders>
              <w:top w:val="single" w:sz="4" w:space="0" w:color="auto"/>
              <w:left w:val="single" w:sz="4" w:space="0" w:color="auto"/>
              <w:bottom w:val="single" w:sz="4" w:space="0" w:color="auto"/>
            </w:tcBorders>
            <w:shd w:val="clear" w:color="auto" w:fill="auto"/>
            <w:noWrap/>
            <w:vAlign w:val="center"/>
            <w:hideMark/>
          </w:tcPr>
          <w:p w14:paraId="7020C1D3"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$36,044,914</w:t>
            </w:r>
          </w:p>
        </w:tc>
      </w:tr>
      <w:tr w:rsidR="00115CD6" w:rsidRPr="00115CD6" w14:paraId="6C70C326" w14:textId="77777777" w:rsidTr="00A04FAA">
        <w:trPr>
          <w:trHeight w:val="1530"/>
        </w:trPr>
        <w:tc>
          <w:tcPr>
            <w:tcW w:w="1677" w:type="dxa"/>
            <w:tcBorders>
              <w:top w:val="nil"/>
              <w:left w:val="nil"/>
              <w:bottom w:val="single" w:sz="4" w:space="0" w:color="auto"/>
              <w:right w:val="nil"/>
            </w:tcBorders>
            <w:shd w:val="clear" w:color="auto" w:fill="auto"/>
            <w:vAlign w:val="center"/>
            <w:hideMark/>
          </w:tcPr>
          <w:p w14:paraId="4F11A911" w14:textId="77777777" w:rsidR="00115CD6" w:rsidRPr="00115CD6" w:rsidRDefault="00115CD6" w:rsidP="00115CD6">
            <w:pPr>
              <w:rPr>
                <w:rFonts w:ascii="Arial" w:hAnsi="Arial" w:cs="Arial"/>
                <w:color w:val="000000"/>
                <w:sz w:val="18"/>
                <w:szCs w:val="18"/>
              </w:rPr>
            </w:pPr>
            <w:r w:rsidRPr="00115CD6">
              <w:rPr>
                <w:rFonts w:ascii="Arial" w:hAnsi="Arial" w:cs="Arial"/>
                <w:b/>
                <w:bCs/>
                <w:color w:val="000000"/>
                <w:sz w:val="18"/>
                <w:szCs w:val="18"/>
              </w:rPr>
              <w:t>ADA Van Procurement</w:t>
            </w:r>
            <w:r w:rsidRPr="00115CD6">
              <w:rPr>
                <w:rFonts w:ascii="Arial" w:hAnsi="Arial" w:cs="Arial"/>
                <w:color w:val="000000"/>
                <w:sz w:val="18"/>
                <w:szCs w:val="18"/>
              </w:rPr>
              <w:br/>
            </w:r>
            <w:r w:rsidRPr="00115CD6">
              <w:rPr>
                <w:rFonts w:ascii="Arial" w:hAnsi="Arial" w:cs="Arial"/>
                <w:i/>
                <w:iCs/>
                <w:color w:val="000000"/>
                <w:sz w:val="18"/>
                <w:szCs w:val="18"/>
              </w:rPr>
              <w:t>(1130170)</w:t>
            </w:r>
          </w:p>
        </w:tc>
        <w:tc>
          <w:tcPr>
            <w:tcW w:w="2169" w:type="dxa"/>
            <w:tcBorders>
              <w:top w:val="nil"/>
              <w:left w:val="single" w:sz="4" w:space="0" w:color="auto"/>
              <w:bottom w:val="single" w:sz="4" w:space="0" w:color="auto"/>
              <w:right w:val="single" w:sz="4" w:space="0" w:color="auto"/>
            </w:tcBorders>
            <w:shd w:val="clear" w:color="auto" w:fill="auto"/>
            <w:vAlign w:val="center"/>
            <w:hideMark/>
          </w:tcPr>
          <w:p w14:paraId="738FCDEF" w14:textId="77777777" w:rsidR="00115CD6" w:rsidRPr="00115CD6" w:rsidRDefault="00115CD6" w:rsidP="00115CD6">
            <w:pPr>
              <w:rPr>
                <w:rFonts w:ascii="Arial" w:hAnsi="Arial" w:cs="Arial"/>
                <w:color w:val="000000"/>
                <w:sz w:val="18"/>
                <w:szCs w:val="18"/>
              </w:rPr>
            </w:pPr>
            <w:r w:rsidRPr="00115CD6">
              <w:rPr>
                <w:rFonts w:ascii="Arial" w:hAnsi="Arial" w:cs="Arial"/>
                <w:color w:val="000000"/>
                <w:sz w:val="18"/>
                <w:szCs w:val="18"/>
              </w:rPr>
              <w:t>Fleet: In 23-24, purchase of 19 battery electric minibuses to achieve 67% electrification of Access fleet by 2030</w:t>
            </w:r>
          </w:p>
        </w:tc>
        <w:tc>
          <w:tcPr>
            <w:tcW w:w="1433" w:type="dxa"/>
            <w:tcBorders>
              <w:top w:val="nil"/>
              <w:left w:val="nil"/>
              <w:bottom w:val="single" w:sz="4" w:space="0" w:color="auto"/>
              <w:right w:val="nil"/>
            </w:tcBorders>
            <w:shd w:val="clear" w:color="auto" w:fill="auto"/>
            <w:noWrap/>
            <w:vAlign w:val="center"/>
            <w:hideMark/>
          </w:tcPr>
          <w:p w14:paraId="6EDC4514"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$6,261,916</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35308D4"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$31,249,049</w:t>
            </w:r>
          </w:p>
        </w:tc>
        <w:tc>
          <w:tcPr>
            <w:tcW w:w="1433" w:type="dxa"/>
            <w:tcBorders>
              <w:top w:val="nil"/>
              <w:left w:val="nil"/>
              <w:bottom w:val="single" w:sz="4" w:space="0" w:color="auto"/>
              <w:right w:val="nil"/>
            </w:tcBorders>
            <w:shd w:val="clear" w:color="auto" w:fill="auto"/>
            <w:noWrap/>
            <w:vAlign w:val="center"/>
            <w:hideMark/>
          </w:tcPr>
          <w:p w14:paraId="73866A87"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$25,671,625</w:t>
            </w:r>
          </w:p>
        </w:tc>
        <w:tc>
          <w:tcPr>
            <w:tcW w:w="1433" w:type="dxa"/>
            <w:tcBorders>
              <w:top w:val="single" w:sz="4" w:space="0" w:color="auto"/>
              <w:left w:val="single" w:sz="4" w:space="0" w:color="auto"/>
              <w:bottom w:val="single" w:sz="4" w:space="0" w:color="auto"/>
            </w:tcBorders>
            <w:shd w:val="clear" w:color="auto" w:fill="auto"/>
            <w:noWrap/>
            <w:vAlign w:val="center"/>
            <w:hideMark/>
          </w:tcPr>
          <w:p w14:paraId="06B1C21F"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$63,182,590</w:t>
            </w:r>
          </w:p>
        </w:tc>
      </w:tr>
      <w:tr w:rsidR="00115CD6" w:rsidRPr="00115CD6" w14:paraId="3613197B" w14:textId="77777777" w:rsidTr="00A04FAA">
        <w:trPr>
          <w:trHeight w:val="1500"/>
        </w:trPr>
        <w:tc>
          <w:tcPr>
            <w:tcW w:w="1677" w:type="dxa"/>
            <w:tcBorders>
              <w:top w:val="nil"/>
              <w:left w:val="nil"/>
              <w:bottom w:val="single" w:sz="4" w:space="0" w:color="auto"/>
              <w:right w:val="nil"/>
            </w:tcBorders>
            <w:shd w:val="clear" w:color="auto" w:fill="auto"/>
            <w:vAlign w:val="center"/>
            <w:hideMark/>
          </w:tcPr>
          <w:p w14:paraId="3CFB893B" w14:textId="77777777" w:rsidR="00115CD6" w:rsidRPr="00115CD6" w:rsidRDefault="00115CD6" w:rsidP="00115CD6">
            <w:pPr>
              <w:rPr>
                <w:rFonts w:ascii="Arial" w:hAnsi="Arial" w:cs="Arial"/>
                <w:color w:val="000000"/>
                <w:sz w:val="18"/>
                <w:szCs w:val="18"/>
              </w:rPr>
            </w:pPr>
            <w:r w:rsidRPr="00115CD6">
              <w:rPr>
                <w:rFonts w:ascii="Arial" w:hAnsi="Arial" w:cs="Arial"/>
                <w:b/>
                <w:bCs/>
                <w:color w:val="000000"/>
                <w:sz w:val="18"/>
                <w:szCs w:val="18"/>
              </w:rPr>
              <w:t>Community Access Transportation Vehicle Procurement</w:t>
            </w:r>
            <w:r w:rsidRPr="00115CD6">
              <w:rPr>
                <w:rFonts w:ascii="Arial" w:hAnsi="Arial" w:cs="Arial"/>
                <w:color w:val="000000"/>
                <w:sz w:val="18"/>
                <w:szCs w:val="18"/>
              </w:rPr>
              <w:br/>
            </w:r>
            <w:r w:rsidRPr="00115CD6">
              <w:rPr>
                <w:rFonts w:ascii="Arial" w:hAnsi="Arial" w:cs="Arial"/>
                <w:i/>
                <w:iCs/>
                <w:color w:val="000000"/>
                <w:sz w:val="18"/>
                <w:szCs w:val="18"/>
              </w:rPr>
              <w:t>(1130171)</w:t>
            </w:r>
          </w:p>
        </w:tc>
        <w:tc>
          <w:tcPr>
            <w:tcW w:w="2169" w:type="dxa"/>
            <w:tcBorders>
              <w:top w:val="nil"/>
              <w:left w:val="single" w:sz="4" w:space="0" w:color="auto"/>
              <w:bottom w:val="single" w:sz="4" w:space="0" w:color="auto"/>
              <w:right w:val="single" w:sz="4" w:space="0" w:color="auto"/>
            </w:tcBorders>
            <w:shd w:val="clear" w:color="auto" w:fill="auto"/>
            <w:vAlign w:val="center"/>
            <w:hideMark/>
          </w:tcPr>
          <w:p w14:paraId="18CC832A" w14:textId="77777777" w:rsidR="00115CD6" w:rsidRPr="00115CD6" w:rsidRDefault="00115CD6" w:rsidP="00115CD6">
            <w:pPr>
              <w:rPr>
                <w:rFonts w:ascii="Arial" w:hAnsi="Arial" w:cs="Arial"/>
                <w:color w:val="000000"/>
                <w:sz w:val="18"/>
                <w:szCs w:val="18"/>
              </w:rPr>
            </w:pPr>
            <w:r w:rsidRPr="00115CD6">
              <w:rPr>
                <w:rFonts w:ascii="Arial" w:hAnsi="Arial" w:cs="Arial"/>
                <w:color w:val="000000"/>
                <w:sz w:val="18"/>
                <w:szCs w:val="18"/>
              </w:rPr>
              <w:t>Fleet: In 23-24, purchase 19 vehicles of which 2 are small low floor electric vehicles</w:t>
            </w:r>
          </w:p>
        </w:tc>
        <w:tc>
          <w:tcPr>
            <w:tcW w:w="1433" w:type="dxa"/>
            <w:tcBorders>
              <w:top w:val="nil"/>
              <w:left w:val="nil"/>
              <w:bottom w:val="single" w:sz="4" w:space="0" w:color="auto"/>
              <w:right w:val="nil"/>
            </w:tcBorders>
            <w:shd w:val="clear" w:color="auto" w:fill="auto"/>
            <w:noWrap/>
            <w:vAlign w:val="center"/>
            <w:hideMark/>
          </w:tcPr>
          <w:p w14:paraId="78D096DB"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$2,982,288</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5383D07"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$994,725</w:t>
            </w:r>
          </w:p>
        </w:tc>
        <w:tc>
          <w:tcPr>
            <w:tcW w:w="1433" w:type="dxa"/>
            <w:tcBorders>
              <w:top w:val="nil"/>
              <w:left w:val="nil"/>
              <w:bottom w:val="single" w:sz="4" w:space="0" w:color="auto"/>
              <w:right w:val="nil"/>
            </w:tcBorders>
            <w:shd w:val="clear" w:color="auto" w:fill="auto"/>
            <w:noWrap/>
            <w:vAlign w:val="center"/>
            <w:hideMark/>
          </w:tcPr>
          <w:p w14:paraId="098A1DEC"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$17,549,232</w:t>
            </w:r>
          </w:p>
        </w:tc>
        <w:tc>
          <w:tcPr>
            <w:tcW w:w="1433" w:type="dxa"/>
            <w:tcBorders>
              <w:top w:val="single" w:sz="4" w:space="0" w:color="auto"/>
              <w:left w:val="single" w:sz="4" w:space="0" w:color="auto"/>
              <w:bottom w:val="single" w:sz="4" w:space="0" w:color="auto"/>
            </w:tcBorders>
            <w:shd w:val="clear" w:color="auto" w:fill="auto"/>
            <w:noWrap/>
            <w:vAlign w:val="center"/>
            <w:hideMark/>
          </w:tcPr>
          <w:p w14:paraId="12AA9B43"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$21,526,245</w:t>
            </w:r>
          </w:p>
        </w:tc>
      </w:tr>
      <w:tr w:rsidR="00115CD6" w:rsidRPr="00115CD6" w14:paraId="1950C181" w14:textId="77777777" w:rsidTr="00A04FAA">
        <w:trPr>
          <w:trHeight w:val="1275"/>
        </w:trPr>
        <w:tc>
          <w:tcPr>
            <w:tcW w:w="1677" w:type="dxa"/>
            <w:tcBorders>
              <w:top w:val="nil"/>
              <w:left w:val="nil"/>
              <w:bottom w:val="single" w:sz="4" w:space="0" w:color="auto"/>
              <w:right w:val="nil"/>
            </w:tcBorders>
            <w:shd w:val="clear" w:color="auto" w:fill="auto"/>
            <w:vAlign w:val="center"/>
            <w:hideMark/>
          </w:tcPr>
          <w:p w14:paraId="15C549BF" w14:textId="77777777" w:rsidR="00115CD6" w:rsidRPr="00115CD6" w:rsidRDefault="00115CD6" w:rsidP="00115CD6">
            <w:pPr>
              <w:rPr>
                <w:rFonts w:ascii="Arial" w:hAnsi="Arial" w:cs="Arial"/>
                <w:color w:val="000000"/>
                <w:sz w:val="18"/>
                <w:szCs w:val="18"/>
              </w:rPr>
            </w:pPr>
            <w:r w:rsidRPr="00115CD6">
              <w:rPr>
                <w:rFonts w:ascii="Arial" w:hAnsi="Arial" w:cs="Arial"/>
                <w:b/>
                <w:bCs/>
                <w:color w:val="000000"/>
                <w:sz w:val="18"/>
                <w:szCs w:val="18"/>
              </w:rPr>
              <w:t>Battery Electric Bus Budget</w:t>
            </w:r>
            <w:r w:rsidRPr="00115CD6">
              <w:rPr>
                <w:rFonts w:ascii="Arial" w:hAnsi="Arial" w:cs="Arial"/>
                <w:color w:val="000000"/>
                <w:sz w:val="18"/>
                <w:szCs w:val="18"/>
              </w:rPr>
              <w:br/>
            </w:r>
            <w:r w:rsidRPr="00115CD6">
              <w:rPr>
                <w:rFonts w:ascii="Arial" w:hAnsi="Arial" w:cs="Arial"/>
                <w:i/>
                <w:iCs/>
                <w:color w:val="000000"/>
                <w:sz w:val="18"/>
                <w:szCs w:val="18"/>
              </w:rPr>
              <w:t>(1139507)</w:t>
            </w:r>
          </w:p>
        </w:tc>
        <w:tc>
          <w:tcPr>
            <w:tcW w:w="2169" w:type="dxa"/>
            <w:tcBorders>
              <w:top w:val="nil"/>
              <w:left w:val="single" w:sz="4" w:space="0" w:color="auto"/>
              <w:bottom w:val="single" w:sz="4" w:space="0" w:color="auto"/>
              <w:right w:val="single" w:sz="4" w:space="0" w:color="auto"/>
            </w:tcBorders>
            <w:shd w:val="clear" w:color="auto" w:fill="auto"/>
            <w:vAlign w:val="center"/>
            <w:hideMark/>
          </w:tcPr>
          <w:p w14:paraId="4CAAD17E" w14:textId="77777777" w:rsidR="00115CD6" w:rsidRPr="00115CD6" w:rsidRDefault="00115CD6" w:rsidP="00115CD6">
            <w:pPr>
              <w:rPr>
                <w:rFonts w:ascii="Arial" w:hAnsi="Arial" w:cs="Arial"/>
                <w:color w:val="000000"/>
                <w:sz w:val="18"/>
                <w:szCs w:val="18"/>
              </w:rPr>
            </w:pPr>
            <w:r w:rsidRPr="00115CD6">
              <w:rPr>
                <w:rFonts w:ascii="Arial" w:hAnsi="Arial" w:cs="Arial"/>
                <w:color w:val="000000"/>
                <w:sz w:val="18"/>
                <w:szCs w:val="18"/>
              </w:rPr>
              <w:t>Fleet: In 23-24, purchase 120 vehicles to be received in the 25-26 biennium (for Interim Base)</w:t>
            </w:r>
          </w:p>
        </w:tc>
        <w:tc>
          <w:tcPr>
            <w:tcW w:w="1433" w:type="dxa"/>
            <w:tcBorders>
              <w:top w:val="nil"/>
              <w:left w:val="nil"/>
              <w:bottom w:val="single" w:sz="4" w:space="0" w:color="auto"/>
              <w:right w:val="nil"/>
            </w:tcBorders>
            <w:shd w:val="clear" w:color="auto" w:fill="auto"/>
            <w:noWrap/>
            <w:vAlign w:val="center"/>
            <w:hideMark/>
          </w:tcPr>
          <w:p w14:paraId="5033B5F3"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$180,540,954</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AD809AF"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$0</w:t>
            </w:r>
          </w:p>
        </w:tc>
        <w:tc>
          <w:tcPr>
            <w:tcW w:w="1433" w:type="dxa"/>
            <w:tcBorders>
              <w:top w:val="nil"/>
              <w:left w:val="nil"/>
              <w:bottom w:val="single" w:sz="4" w:space="0" w:color="auto"/>
              <w:right w:val="nil"/>
            </w:tcBorders>
            <w:shd w:val="clear" w:color="auto" w:fill="auto"/>
            <w:noWrap/>
            <w:vAlign w:val="center"/>
            <w:hideMark/>
          </w:tcPr>
          <w:p w14:paraId="7CF879AE"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$439,763,242</w:t>
            </w:r>
          </w:p>
        </w:tc>
        <w:tc>
          <w:tcPr>
            <w:tcW w:w="1433" w:type="dxa"/>
            <w:tcBorders>
              <w:top w:val="single" w:sz="4" w:space="0" w:color="auto"/>
              <w:left w:val="single" w:sz="4" w:space="0" w:color="auto"/>
              <w:bottom w:val="single" w:sz="4" w:space="0" w:color="auto"/>
            </w:tcBorders>
            <w:shd w:val="clear" w:color="auto" w:fill="auto"/>
            <w:noWrap/>
            <w:vAlign w:val="center"/>
            <w:hideMark/>
          </w:tcPr>
          <w:p w14:paraId="6360F2D5"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$620,304,196</w:t>
            </w:r>
          </w:p>
        </w:tc>
      </w:tr>
      <w:tr w:rsidR="00115CD6" w:rsidRPr="00115CD6" w14:paraId="7291A63C" w14:textId="77777777" w:rsidTr="00A04FAA">
        <w:trPr>
          <w:trHeight w:val="1275"/>
        </w:trPr>
        <w:tc>
          <w:tcPr>
            <w:tcW w:w="1677" w:type="dxa"/>
            <w:tcBorders>
              <w:top w:val="nil"/>
              <w:left w:val="nil"/>
              <w:bottom w:val="single" w:sz="4" w:space="0" w:color="auto"/>
              <w:right w:val="nil"/>
            </w:tcBorders>
            <w:shd w:val="clear" w:color="auto" w:fill="auto"/>
            <w:vAlign w:val="center"/>
            <w:hideMark/>
          </w:tcPr>
          <w:p w14:paraId="4A1C2976" w14:textId="77777777" w:rsidR="00115CD6" w:rsidRPr="00115CD6" w:rsidRDefault="00115CD6" w:rsidP="00115CD6">
            <w:pPr>
              <w:rPr>
                <w:rFonts w:ascii="Arial" w:hAnsi="Arial" w:cs="Arial"/>
                <w:color w:val="000000"/>
                <w:sz w:val="18"/>
                <w:szCs w:val="18"/>
              </w:rPr>
            </w:pPr>
            <w:r w:rsidRPr="00115CD6">
              <w:rPr>
                <w:rFonts w:ascii="Arial" w:hAnsi="Arial" w:cs="Arial"/>
                <w:b/>
                <w:bCs/>
                <w:color w:val="000000"/>
                <w:sz w:val="18"/>
                <w:szCs w:val="18"/>
              </w:rPr>
              <w:t>Access Transportation EV Pilot</w:t>
            </w:r>
            <w:r w:rsidRPr="00115CD6">
              <w:rPr>
                <w:rFonts w:ascii="Arial" w:hAnsi="Arial" w:cs="Arial"/>
                <w:color w:val="000000"/>
                <w:sz w:val="18"/>
                <w:szCs w:val="18"/>
              </w:rPr>
              <w:br/>
            </w:r>
            <w:r w:rsidRPr="00115CD6">
              <w:rPr>
                <w:rFonts w:ascii="Arial" w:hAnsi="Arial" w:cs="Arial"/>
                <w:i/>
                <w:iCs/>
                <w:color w:val="000000"/>
                <w:sz w:val="18"/>
                <w:szCs w:val="18"/>
              </w:rPr>
              <w:t>(1141993)</w:t>
            </w:r>
          </w:p>
        </w:tc>
        <w:tc>
          <w:tcPr>
            <w:tcW w:w="2169" w:type="dxa"/>
            <w:tcBorders>
              <w:top w:val="nil"/>
              <w:left w:val="single" w:sz="4" w:space="0" w:color="auto"/>
              <w:bottom w:val="single" w:sz="4" w:space="0" w:color="auto"/>
              <w:right w:val="single" w:sz="4" w:space="0" w:color="auto"/>
            </w:tcBorders>
            <w:shd w:val="clear" w:color="auto" w:fill="auto"/>
            <w:vAlign w:val="center"/>
            <w:hideMark/>
          </w:tcPr>
          <w:p w14:paraId="356F652A" w14:textId="77777777" w:rsidR="00115CD6" w:rsidRPr="00115CD6" w:rsidRDefault="00115CD6" w:rsidP="00115CD6">
            <w:pPr>
              <w:rPr>
                <w:rFonts w:ascii="Arial" w:hAnsi="Arial" w:cs="Arial"/>
                <w:color w:val="000000"/>
                <w:sz w:val="18"/>
                <w:szCs w:val="18"/>
              </w:rPr>
            </w:pPr>
            <w:r w:rsidRPr="00115CD6">
              <w:rPr>
                <w:rFonts w:ascii="Arial" w:hAnsi="Arial" w:cs="Arial"/>
                <w:color w:val="000000"/>
                <w:sz w:val="18"/>
                <w:szCs w:val="18"/>
              </w:rPr>
              <w:t>Fleet: Support the first battery electric vehicles for use in ADA paratransit revenue operations</w:t>
            </w:r>
          </w:p>
        </w:tc>
        <w:tc>
          <w:tcPr>
            <w:tcW w:w="1433" w:type="dxa"/>
            <w:tcBorders>
              <w:top w:val="nil"/>
              <w:left w:val="nil"/>
              <w:bottom w:val="single" w:sz="4" w:space="0" w:color="auto"/>
              <w:right w:val="nil"/>
            </w:tcBorders>
            <w:shd w:val="clear" w:color="auto" w:fill="auto"/>
            <w:noWrap/>
            <w:vAlign w:val="center"/>
            <w:hideMark/>
          </w:tcPr>
          <w:p w14:paraId="0D88D92C"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$2,000,000</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6002973"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$0</w:t>
            </w:r>
          </w:p>
        </w:tc>
        <w:tc>
          <w:tcPr>
            <w:tcW w:w="1433" w:type="dxa"/>
            <w:tcBorders>
              <w:top w:val="nil"/>
              <w:left w:val="nil"/>
              <w:bottom w:val="single" w:sz="4" w:space="0" w:color="auto"/>
              <w:right w:val="nil"/>
            </w:tcBorders>
            <w:shd w:val="clear" w:color="auto" w:fill="auto"/>
            <w:noWrap/>
            <w:vAlign w:val="center"/>
            <w:hideMark/>
          </w:tcPr>
          <w:p w14:paraId="5F431105"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$0</w:t>
            </w:r>
          </w:p>
        </w:tc>
        <w:tc>
          <w:tcPr>
            <w:tcW w:w="1433" w:type="dxa"/>
            <w:tcBorders>
              <w:top w:val="single" w:sz="4" w:space="0" w:color="auto"/>
              <w:left w:val="single" w:sz="4" w:space="0" w:color="auto"/>
              <w:bottom w:val="single" w:sz="4" w:space="0" w:color="auto"/>
            </w:tcBorders>
            <w:shd w:val="clear" w:color="auto" w:fill="auto"/>
            <w:noWrap/>
            <w:vAlign w:val="center"/>
            <w:hideMark/>
          </w:tcPr>
          <w:p w14:paraId="2AF0CA67"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$2,000,000</w:t>
            </w:r>
          </w:p>
        </w:tc>
      </w:tr>
      <w:tr w:rsidR="00115CD6" w:rsidRPr="00115CD6" w14:paraId="0A0898E2" w14:textId="77777777" w:rsidTr="00A04FAA">
        <w:trPr>
          <w:trHeight w:val="1530"/>
        </w:trPr>
        <w:tc>
          <w:tcPr>
            <w:tcW w:w="1677" w:type="dxa"/>
            <w:tcBorders>
              <w:top w:val="nil"/>
              <w:left w:val="nil"/>
              <w:bottom w:val="single" w:sz="4" w:space="0" w:color="auto"/>
              <w:right w:val="nil"/>
            </w:tcBorders>
            <w:shd w:val="clear" w:color="auto" w:fill="auto"/>
            <w:vAlign w:val="center"/>
            <w:hideMark/>
          </w:tcPr>
          <w:p w14:paraId="58A33D50" w14:textId="77777777" w:rsidR="00115CD6" w:rsidRPr="00115CD6" w:rsidRDefault="00115CD6" w:rsidP="00115CD6">
            <w:pPr>
              <w:rPr>
                <w:rFonts w:ascii="Arial" w:hAnsi="Arial" w:cs="Arial"/>
                <w:color w:val="000000"/>
                <w:sz w:val="18"/>
                <w:szCs w:val="18"/>
              </w:rPr>
            </w:pPr>
            <w:r w:rsidRPr="00115CD6">
              <w:rPr>
                <w:rFonts w:ascii="Arial" w:hAnsi="Arial" w:cs="Arial"/>
                <w:b/>
                <w:bCs/>
                <w:color w:val="000000"/>
                <w:sz w:val="18"/>
                <w:szCs w:val="18"/>
              </w:rPr>
              <w:t>Marine Zero Emission Vessel</w:t>
            </w:r>
            <w:r w:rsidRPr="00115CD6">
              <w:rPr>
                <w:rFonts w:ascii="Arial" w:hAnsi="Arial" w:cs="Arial"/>
                <w:color w:val="000000"/>
                <w:sz w:val="18"/>
                <w:szCs w:val="18"/>
              </w:rPr>
              <w:br/>
            </w:r>
            <w:r w:rsidRPr="00115CD6">
              <w:rPr>
                <w:rFonts w:ascii="Arial" w:hAnsi="Arial" w:cs="Arial"/>
                <w:i/>
                <w:iCs/>
                <w:color w:val="000000"/>
                <w:sz w:val="18"/>
                <w:szCs w:val="18"/>
              </w:rPr>
              <w:t>(1142317)</w:t>
            </w:r>
          </w:p>
        </w:tc>
        <w:tc>
          <w:tcPr>
            <w:tcW w:w="2169" w:type="dxa"/>
            <w:tcBorders>
              <w:top w:val="nil"/>
              <w:left w:val="single" w:sz="4" w:space="0" w:color="auto"/>
              <w:bottom w:val="single" w:sz="4" w:space="0" w:color="auto"/>
              <w:right w:val="single" w:sz="4" w:space="0" w:color="auto"/>
            </w:tcBorders>
            <w:shd w:val="clear" w:color="auto" w:fill="auto"/>
            <w:vAlign w:val="center"/>
            <w:hideMark/>
          </w:tcPr>
          <w:p w14:paraId="09740719" w14:textId="77777777" w:rsidR="00115CD6" w:rsidRPr="00115CD6" w:rsidRDefault="00115CD6" w:rsidP="00115CD6">
            <w:pPr>
              <w:rPr>
                <w:rFonts w:ascii="Arial" w:hAnsi="Arial" w:cs="Arial"/>
                <w:color w:val="000000"/>
                <w:sz w:val="18"/>
                <w:szCs w:val="18"/>
              </w:rPr>
            </w:pPr>
            <w:r w:rsidRPr="00115CD6">
              <w:rPr>
                <w:rFonts w:ascii="Arial" w:hAnsi="Arial" w:cs="Arial"/>
                <w:color w:val="000000"/>
                <w:sz w:val="18"/>
                <w:szCs w:val="18"/>
              </w:rPr>
              <w:t>Fleet: Replace the existing diesel 278-passenger ferry on WS route with two 150-passenger battery electric vessels</w:t>
            </w:r>
          </w:p>
        </w:tc>
        <w:tc>
          <w:tcPr>
            <w:tcW w:w="1433" w:type="dxa"/>
            <w:tcBorders>
              <w:top w:val="nil"/>
              <w:left w:val="nil"/>
              <w:bottom w:val="single" w:sz="4" w:space="0" w:color="auto"/>
              <w:right w:val="nil"/>
            </w:tcBorders>
            <w:shd w:val="clear" w:color="auto" w:fill="auto"/>
            <w:noWrap/>
            <w:vAlign w:val="center"/>
            <w:hideMark/>
          </w:tcPr>
          <w:p w14:paraId="4341062D"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$2,000,000</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096B9C0"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$12,427,586</w:t>
            </w:r>
          </w:p>
        </w:tc>
        <w:tc>
          <w:tcPr>
            <w:tcW w:w="1433" w:type="dxa"/>
            <w:tcBorders>
              <w:top w:val="nil"/>
              <w:left w:val="nil"/>
              <w:bottom w:val="single" w:sz="4" w:space="0" w:color="auto"/>
              <w:right w:val="nil"/>
            </w:tcBorders>
            <w:shd w:val="clear" w:color="auto" w:fill="auto"/>
            <w:noWrap/>
            <w:vAlign w:val="center"/>
            <w:hideMark/>
          </w:tcPr>
          <w:p w14:paraId="2160C694"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$572,414</w:t>
            </w:r>
          </w:p>
        </w:tc>
        <w:tc>
          <w:tcPr>
            <w:tcW w:w="1433" w:type="dxa"/>
            <w:tcBorders>
              <w:top w:val="single" w:sz="4" w:space="0" w:color="auto"/>
              <w:left w:val="single" w:sz="4" w:space="0" w:color="auto"/>
              <w:bottom w:val="single" w:sz="4" w:space="0" w:color="auto"/>
            </w:tcBorders>
            <w:shd w:val="clear" w:color="auto" w:fill="auto"/>
            <w:noWrap/>
            <w:vAlign w:val="center"/>
            <w:hideMark/>
          </w:tcPr>
          <w:p w14:paraId="18AEEEB7" w14:textId="77777777" w:rsidR="00115CD6" w:rsidRPr="00115CD6" w:rsidRDefault="00115CD6" w:rsidP="00115CD6">
            <w:pPr>
              <w:jc w:val="center"/>
              <w:rPr>
                <w:rFonts w:ascii="Arial" w:hAnsi="Arial" w:cs="Arial"/>
                <w:color w:val="000000"/>
                <w:sz w:val="18"/>
                <w:szCs w:val="18"/>
              </w:rPr>
            </w:pPr>
            <w:r w:rsidRPr="00115CD6">
              <w:rPr>
                <w:rFonts w:ascii="Arial" w:hAnsi="Arial" w:cs="Arial"/>
                <w:color w:val="000000"/>
                <w:sz w:val="18"/>
                <w:szCs w:val="18"/>
              </w:rPr>
              <w:t>$15,000,000</w:t>
            </w:r>
          </w:p>
        </w:tc>
      </w:tr>
      <w:tr w:rsidR="00BA69F6" w:rsidRPr="00115CD6" w14:paraId="533F59FA" w14:textId="77777777" w:rsidTr="00A04FAA">
        <w:trPr>
          <w:trHeight w:val="1530"/>
        </w:trPr>
        <w:tc>
          <w:tcPr>
            <w:tcW w:w="1677" w:type="dxa"/>
            <w:tcBorders>
              <w:top w:val="nil"/>
              <w:left w:val="nil"/>
              <w:bottom w:val="single" w:sz="4" w:space="0" w:color="auto"/>
              <w:right w:val="nil"/>
            </w:tcBorders>
            <w:shd w:val="clear" w:color="auto" w:fill="auto"/>
            <w:vAlign w:val="center"/>
          </w:tcPr>
          <w:p w14:paraId="5D76B682" w14:textId="73492BD4" w:rsidR="00BA69F6" w:rsidRPr="00115CD6" w:rsidRDefault="00BA69F6" w:rsidP="00BA69F6">
            <w:pPr>
              <w:rPr>
                <w:rFonts w:ascii="Arial" w:hAnsi="Arial" w:cs="Arial"/>
                <w:b/>
                <w:bCs/>
                <w:color w:val="000000"/>
                <w:sz w:val="18"/>
                <w:szCs w:val="18"/>
              </w:rPr>
            </w:pPr>
            <w:r>
              <w:rPr>
                <w:rFonts w:ascii="Arial" w:hAnsi="Arial" w:cs="Arial"/>
                <w:b/>
                <w:bCs/>
                <w:color w:val="000000"/>
                <w:sz w:val="20"/>
              </w:rPr>
              <w:t>Countywide Layover Facilities Planning</w:t>
            </w:r>
            <w:r>
              <w:rPr>
                <w:rFonts w:ascii="Arial" w:hAnsi="Arial" w:cs="Arial"/>
                <w:color w:val="000000"/>
                <w:sz w:val="20"/>
              </w:rPr>
              <w:br/>
            </w:r>
            <w:r>
              <w:rPr>
                <w:rFonts w:ascii="Arial" w:hAnsi="Arial" w:cs="Arial"/>
                <w:i/>
                <w:iCs/>
                <w:color w:val="000000"/>
                <w:sz w:val="16"/>
                <w:szCs w:val="16"/>
              </w:rPr>
              <w:t>(1144088)</w:t>
            </w:r>
          </w:p>
        </w:tc>
        <w:tc>
          <w:tcPr>
            <w:tcW w:w="2169" w:type="dxa"/>
            <w:tcBorders>
              <w:top w:val="nil"/>
              <w:left w:val="single" w:sz="4" w:space="0" w:color="auto"/>
              <w:bottom w:val="single" w:sz="4" w:space="0" w:color="auto"/>
              <w:right w:val="single" w:sz="4" w:space="0" w:color="auto"/>
            </w:tcBorders>
            <w:shd w:val="clear" w:color="auto" w:fill="auto"/>
            <w:vAlign w:val="center"/>
          </w:tcPr>
          <w:p w14:paraId="2E448619" w14:textId="59235143" w:rsidR="00BA69F6" w:rsidRPr="00115CD6" w:rsidRDefault="00BA69F6" w:rsidP="00BA69F6">
            <w:pPr>
              <w:rPr>
                <w:rFonts w:ascii="Arial" w:hAnsi="Arial" w:cs="Arial"/>
                <w:color w:val="000000"/>
                <w:sz w:val="18"/>
                <w:szCs w:val="18"/>
              </w:rPr>
            </w:pPr>
            <w:r>
              <w:rPr>
                <w:rFonts w:ascii="Arial" w:hAnsi="Arial" w:cs="Arial"/>
                <w:color w:val="000000"/>
                <w:sz w:val="20"/>
              </w:rPr>
              <w:t>Planning for layover spaces in coordination with Metro's battery electric bus program</w:t>
            </w:r>
          </w:p>
        </w:tc>
        <w:tc>
          <w:tcPr>
            <w:tcW w:w="1433" w:type="dxa"/>
            <w:tcBorders>
              <w:top w:val="nil"/>
              <w:left w:val="nil"/>
              <w:bottom w:val="single" w:sz="4" w:space="0" w:color="auto"/>
              <w:right w:val="nil"/>
            </w:tcBorders>
            <w:shd w:val="clear" w:color="auto" w:fill="auto"/>
            <w:noWrap/>
            <w:vAlign w:val="center"/>
          </w:tcPr>
          <w:p w14:paraId="15D94400" w14:textId="3AF14AE3" w:rsidR="00BA69F6" w:rsidRPr="00115CD6" w:rsidRDefault="00BA69F6" w:rsidP="00BA69F6">
            <w:pPr>
              <w:jc w:val="center"/>
              <w:rPr>
                <w:rFonts w:ascii="Arial" w:hAnsi="Arial" w:cs="Arial"/>
                <w:color w:val="000000"/>
                <w:sz w:val="18"/>
                <w:szCs w:val="18"/>
              </w:rPr>
            </w:pPr>
            <w:r>
              <w:rPr>
                <w:rFonts w:ascii="Arial" w:hAnsi="Arial" w:cs="Arial"/>
                <w:color w:val="000000"/>
                <w:sz w:val="20"/>
              </w:rPr>
              <w:t>$308,689</w:t>
            </w:r>
          </w:p>
        </w:tc>
        <w:tc>
          <w:tcPr>
            <w:tcW w:w="1323" w:type="dxa"/>
            <w:tcBorders>
              <w:top w:val="nil"/>
              <w:left w:val="single" w:sz="4" w:space="0" w:color="auto"/>
              <w:bottom w:val="single" w:sz="4" w:space="0" w:color="auto"/>
              <w:right w:val="single" w:sz="4" w:space="0" w:color="auto"/>
            </w:tcBorders>
            <w:shd w:val="clear" w:color="auto" w:fill="auto"/>
            <w:noWrap/>
            <w:vAlign w:val="center"/>
          </w:tcPr>
          <w:p w14:paraId="4B128273" w14:textId="55D2AE3F" w:rsidR="00BA69F6" w:rsidRPr="00115CD6" w:rsidRDefault="00BA69F6" w:rsidP="00BA69F6">
            <w:pPr>
              <w:jc w:val="center"/>
              <w:rPr>
                <w:rFonts w:ascii="Arial" w:hAnsi="Arial" w:cs="Arial"/>
                <w:color w:val="000000"/>
                <w:sz w:val="18"/>
                <w:szCs w:val="18"/>
              </w:rPr>
            </w:pPr>
            <w:r>
              <w:rPr>
                <w:rFonts w:ascii="Arial" w:hAnsi="Arial" w:cs="Arial"/>
                <w:color w:val="000000"/>
                <w:sz w:val="20"/>
              </w:rPr>
              <w:t>$300,346</w:t>
            </w:r>
          </w:p>
        </w:tc>
        <w:tc>
          <w:tcPr>
            <w:tcW w:w="1433" w:type="dxa"/>
            <w:tcBorders>
              <w:top w:val="nil"/>
              <w:left w:val="nil"/>
              <w:bottom w:val="single" w:sz="4" w:space="0" w:color="auto"/>
              <w:right w:val="nil"/>
            </w:tcBorders>
            <w:shd w:val="clear" w:color="auto" w:fill="auto"/>
            <w:noWrap/>
            <w:vAlign w:val="center"/>
          </w:tcPr>
          <w:p w14:paraId="20235670" w14:textId="0E73812E" w:rsidR="00BA69F6" w:rsidRPr="00115CD6" w:rsidRDefault="00BA69F6" w:rsidP="00BA69F6">
            <w:pPr>
              <w:jc w:val="center"/>
              <w:rPr>
                <w:rFonts w:ascii="Arial" w:hAnsi="Arial" w:cs="Arial"/>
                <w:color w:val="000000"/>
                <w:sz w:val="18"/>
                <w:szCs w:val="18"/>
              </w:rPr>
            </w:pPr>
            <w:r>
              <w:rPr>
                <w:rFonts w:ascii="Arial" w:hAnsi="Arial" w:cs="Arial"/>
                <w:color w:val="000000"/>
                <w:sz w:val="20"/>
              </w:rPr>
              <w:t>$0</w:t>
            </w:r>
          </w:p>
        </w:tc>
        <w:tc>
          <w:tcPr>
            <w:tcW w:w="1433" w:type="dxa"/>
            <w:tcBorders>
              <w:top w:val="single" w:sz="4" w:space="0" w:color="auto"/>
              <w:left w:val="single" w:sz="4" w:space="0" w:color="auto"/>
              <w:bottom w:val="single" w:sz="4" w:space="0" w:color="auto"/>
            </w:tcBorders>
            <w:shd w:val="clear" w:color="auto" w:fill="auto"/>
            <w:noWrap/>
            <w:vAlign w:val="center"/>
          </w:tcPr>
          <w:p w14:paraId="06B7C64E" w14:textId="002F7078" w:rsidR="00BA69F6" w:rsidRPr="00115CD6" w:rsidRDefault="00BA69F6" w:rsidP="00BA69F6">
            <w:pPr>
              <w:jc w:val="center"/>
              <w:rPr>
                <w:rFonts w:ascii="Arial" w:hAnsi="Arial" w:cs="Arial"/>
                <w:color w:val="000000"/>
                <w:sz w:val="18"/>
                <w:szCs w:val="18"/>
              </w:rPr>
            </w:pPr>
            <w:r>
              <w:rPr>
                <w:rFonts w:ascii="Arial" w:hAnsi="Arial" w:cs="Arial"/>
                <w:color w:val="000000"/>
                <w:sz w:val="20"/>
              </w:rPr>
              <w:t>$609,035</w:t>
            </w:r>
          </w:p>
        </w:tc>
      </w:tr>
      <w:tr w:rsidR="00115CD6" w:rsidRPr="00115CD6" w14:paraId="3FCB1519" w14:textId="77777777" w:rsidTr="00027F7F">
        <w:trPr>
          <w:trHeight w:val="449"/>
        </w:trPr>
        <w:tc>
          <w:tcPr>
            <w:tcW w:w="3846" w:type="dxa"/>
            <w:gridSpan w:val="2"/>
            <w:tcBorders>
              <w:top w:val="nil"/>
              <w:left w:val="nil"/>
              <w:bottom w:val="nil"/>
              <w:right w:val="nil"/>
            </w:tcBorders>
            <w:shd w:val="clear" w:color="auto" w:fill="auto"/>
            <w:vAlign w:val="center"/>
            <w:hideMark/>
          </w:tcPr>
          <w:p w14:paraId="1D687C20" w14:textId="6E3FF88A" w:rsidR="00115CD6" w:rsidRPr="00115CD6" w:rsidRDefault="00115CD6" w:rsidP="00115CD6">
            <w:pPr>
              <w:rPr>
                <w:rFonts w:ascii="Arial" w:hAnsi="Arial" w:cs="Arial"/>
                <w:b/>
                <w:bCs/>
                <w:color w:val="000000"/>
                <w:sz w:val="18"/>
                <w:szCs w:val="18"/>
              </w:rPr>
            </w:pPr>
            <w:r w:rsidRPr="00115CD6">
              <w:rPr>
                <w:rFonts w:ascii="Arial" w:hAnsi="Arial" w:cs="Arial"/>
                <w:b/>
                <w:bCs/>
                <w:color w:val="000000"/>
                <w:sz w:val="18"/>
                <w:szCs w:val="18"/>
              </w:rPr>
              <w:t>2023-2024 TOTAL</w:t>
            </w:r>
          </w:p>
        </w:tc>
        <w:tc>
          <w:tcPr>
            <w:tcW w:w="1433" w:type="dxa"/>
            <w:tcBorders>
              <w:top w:val="nil"/>
              <w:left w:val="nil"/>
              <w:bottom w:val="nil"/>
              <w:right w:val="nil"/>
            </w:tcBorders>
            <w:shd w:val="clear" w:color="auto" w:fill="auto"/>
            <w:noWrap/>
            <w:vAlign w:val="center"/>
            <w:hideMark/>
          </w:tcPr>
          <w:p w14:paraId="4C6EA1E1" w14:textId="7409AF3B" w:rsidR="00115CD6" w:rsidRPr="00115CD6" w:rsidRDefault="00115CD6" w:rsidP="00115CD6">
            <w:pPr>
              <w:jc w:val="center"/>
              <w:rPr>
                <w:rFonts w:ascii="Arial" w:hAnsi="Arial" w:cs="Arial"/>
                <w:b/>
                <w:bCs/>
                <w:color w:val="000000"/>
                <w:sz w:val="18"/>
                <w:szCs w:val="18"/>
              </w:rPr>
            </w:pPr>
            <w:r w:rsidRPr="00115CD6">
              <w:rPr>
                <w:rFonts w:ascii="Arial" w:hAnsi="Arial" w:cs="Arial"/>
                <w:b/>
                <w:bCs/>
                <w:color w:val="000000"/>
                <w:sz w:val="18"/>
                <w:szCs w:val="18"/>
              </w:rPr>
              <w:t>$248,</w:t>
            </w:r>
            <w:r w:rsidR="00BA69F6">
              <w:rPr>
                <w:rFonts w:ascii="Arial" w:hAnsi="Arial" w:cs="Arial"/>
                <w:b/>
                <w:bCs/>
                <w:color w:val="000000"/>
                <w:sz w:val="18"/>
                <w:szCs w:val="18"/>
              </w:rPr>
              <w:t>508</w:t>
            </w:r>
            <w:r w:rsidRPr="00115CD6">
              <w:rPr>
                <w:rFonts w:ascii="Arial" w:hAnsi="Arial" w:cs="Arial"/>
                <w:b/>
                <w:bCs/>
                <w:color w:val="000000"/>
                <w:sz w:val="18"/>
                <w:szCs w:val="18"/>
              </w:rPr>
              <w:t>,</w:t>
            </w:r>
            <w:r w:rsidR="00BA69F6">
              <w:rPr>
                <w:rFonts w:ascii="Arial" w:hAnsi="Arial" w:cs="Arial"/>
                <w:b/>
                <w:bCs/>
                <w:color w:val="000000"/>
                <w:sz w:val="18"/>
                <w:szCs w:val="18"/>
              </w:rPr>
              <w:t>424</w:t>
            </w:r>
          </w:p>
        </w:tc>
        <w:tc>
          <w:tcPr>
            <w:tcW w:w="1323" w:type="dxa"/>
            <w:tcBorders>
              <w:top w:val="nil"/>
              <w:left w:val="nil"/>
              <w:bottom w:val="nil"/>
              <w:right w:val="nil"/>
            </w:tcBorders>
            <w:shd w:val="clear" w:color="auto" w:fill="auto"/>
            <w:noWrap/>
            <w:vAlign w:val="center"/>
            <w:hideMark/>
          </w:tcPr>
          <w:p w14:paraId="4B450ECD" w14:textId="77777777" w:rsidR="00115CD6" w:rsidRPr="00115CD6" w:rsidRDefault="00115CD6" w:rsidP="00115CD6">
            <w:pPr>
              <w:jc w:val="center"/>
              <w:rPr>
                <w:rFonts w:ascii="Arial" w:hAnsi="Arial" w:cs="Arial"/>
                <w:b/>
                <w:bCs/>
                <w:color w:val="000000"/>
                <w:sz w:val="18"/>
                <w:szCs w:val="18"/>
              </w:rPr>
            </w:pPr>
          </w:p>
        </w:tc>
        <w:tc>
          <w:tcPr>
            <w:tcW w:w="1433" w:type="dxa"/>
            <w:tcBorders>
              <w:top w:val="nil"/>
              <w:left w:val="nil"/>
              <w:bottom w:val="nil"/>
              <w:right w:val="nil"/>
            </w:tcBorders>
            <w:shd w:val="clear" w:color="auto" w:fill="auto"/>
            <w:noWrap/>
            <w:vAlign w:val="center"/>
            <w:hideMark/>
          </w:tcPr>
          <w:p w14:paraId="3355B50D" w14:textId="77777777" w:rsidR="00115CD6" w:rsidRPr="00115CD6" w:rsidRDefault="00115CD6" w:rsidP="00115CD6">
            <w:pPr>
              <w:jc w:val="center"/>
              <w:rPr>
                <w:rFonts w:ascii="Arial" w:hAnsi="Arial" w:cs="Arial"/>
                <w:sz w:val="18"/>
                <w:szCs w:val="18"/>
              </w:rPr>
            </w:pPr>
          </w:p>
        </w:tc>
        <w:tc>
          <w:tcPr>
            <w:tcW w:w="1433" w:type="dxa"/>
            <w:tcBorders>
              <w:top w:val="nil"/>
              <w:left w:val="nil"/>
              <w:bottom w:val="nil"/>
              <w:right w:val="nil"/>
            </w:tcBorders>
            <w:shd w:val="clear" w:color="auto" w:fill="auto"/>
            <w:noWrap/>
            <w:vAlign w:val="center"/>
            <w:hideMark/>
          </w:tcPr>
          <w:p w14:paraId="7A0F80BF" w14:textId="77777777" w:rsidR="00115CD6" w:rsidRPr="00115CD6" w:rsidRDefault="00115CD6" w:rsidP="00115CD6">
            <w:pPr>
              <w:jc w:val="center"/>
              <w:rPr>
                <w:rFonts w:ascii="Arial" w:hAnsi="Arial" w:cs="Arial"/>
                <w:sz w:val="18"/>
                <w:szCs w:val="18"/>
              </w:rPr>
            </w:pPr>
          </w:p>
        </w:tc>
      </w:tr>
    </w:tbl>
    <w:p w14:paraId="2B026FF5" w14:textId="3886D747" w:rsidR="00B73B36" w:rsidRDefault="00B73B36" w:rsidP="00C72B44">
      <w:pPr>
        <w:spacing w:line="264" w:lineRule="auto"/>
        <w:jc w:val="both"/>
        <w:rPr>
          <w:rFonts w:ascii="Arial" w:hAnsi="Arial" w:cs="Arial"/>
          <w:szCs w:val="24"/>
        </w:rPr>
      </w:pPr>
    </w:p>
    <w:p w14:paraId="27FD884D" w14:textId="3929E64B" w:rsidR="003C2C25" w:rsidRDefault="00535422" w:rsidP="00C72B44">
      <w:pPr>
        <w:spacing w:line="264" w:lineRule="auto"/>
        <w:jc w:val="both"/>
        <w:rPr>
          <w:rFonts w:ascii="Arial" w:hAnsi="Arial" w:cs="Arial"/>
          <w:szCs w:val="24"/>
        </w:rPr>
      </w:pPr>
      <w:r>
        <w:rPr>
          <w:rFonts w:ascii="Arial" w:hAnsi="Arial" w:cs="Arial"/>
          <w:szCs w:val="24"/>
        </w:rPr>
        <w:lastRenderedPageBreak/>
        <w:t xml:space="preserve">Earlier this year, Metro </w:t>
      </w:r>
      <w:r w:rsidR="00835C85">
        <w:rPr>
          <w:rFonts w:ascii="Arial" w:hAnsi="Arial" w:cs="Arial"/>
          <w:szCs w:val="24"/>
        </w:rPr>
        <w:t>completed</w:t>
      </w:r>
      <w:r>
        <w:rPr>
          <w:rFonts w:ascii="Arial" w:hAnsi="Arial" w:cs="Arial"/>
          <w:szCs w:val="24"/>
        </w:rPr>
        <w:t xml:space="preserve"> a </w:t>
      </w:r>
      <w:r w:rsidR="00476A8F">
        <w:rPr>
          <w:rFonts w:ascii="Arial" w:hAnsi="Arial" w:cs="Arial"/>
          <w:szCs w:val="24"/>
        </w:rPr>
        <w:t xml:space="preserve">zero-emission bus fleet </w:t>
      </w:r>
      <w:r w:rsidR="00E972F5">
        <w:rPr>
          <w:rFonts w:ascii="Arial" w:hAnsi="Arial" w:cs="Arial"/>
          <w:szCs w:val="24"/>
        </w:rPr>
        <w:t>transition plan</w:t>
      </w:r>
      <w:r w:rsidR="00E972F5">
        <w:rPr>
          <w:rStyle w:val="FootnoteReference"/>
          <w:rFonts w:ascii="Arial" w:hAnsi="Arial" w:cs="Arial"/>
          <w:szCs w:val="24"/>
        </w:rPr>
        <w:footnoteReference w:id="28"/>
      </w:r>
      <w:r w:rsidR="00E972F5">
        <w:rPr>
          <w:rFonts w:ascii="Arial" w:hAnsi="Arial" w:cs="Arial"/>
          <w:szCs w:val="24"/>
        </w:rPr>
        <w:t xml:space="preserve"> as </w:t>
      </w:r>
      <w:r>
        <w:rPr>
          <w:rFonts w:ascii="Arial" w:hAnsi="Arial" w:cs="Arial"/>
          <w:szCs w:val="24"/>
        </w:rPr>
        <w:t xml:space="preserve">part of </w:t>
      </w:r>
      <w:r w:rsidR="00E972F5">
        <w:rPr>
          <w:rFonts w:ascii="Arial" w:hAnsi="Arial" w:cs="Arial"/>
          <w:szCs w:val="24"/>
        </w:rPr>
        <w:t xml:space="preserve">a </w:t>
      </w:r>
      <w:r w:rsidR="00835C85">
        <w:rPr>
          <w:rFonts w:ascii="Arial" w:hAnsi="Arial" w:cs="Arial"/>
          <w:szCs w:val="24"/>
        </w:rPr>
        <w:t xml:space="preserve">Federal Transit Administration </w:t>
      </w:r>
      <w:r w:rsidR="00E972F5">
        <w:rPr>
          <w:rFonts w:ascii="Arial" w:hAnsi="Arial" w:cs="Arial"/>
          <w:szCs w:val="24"/>
        </w:rPr>
        <w:t xml:space="preserve">requirement to apply for federal </w:t>
      </w:r>
      <w:r w:rsidR="00F63DD4">
        <w:rPr>
          <w:rFonts w:ascii="Arial" w:hAnsi="Arial" w:cs="Arial"/>
          <w:szCs w:val="24"/>
        </w:rPr>
        <w:t xml:space="preserve">electrification </w:t>
      </w:r>
      <w:r w:rsidR="00E972F5">
        <w:rPr>
          <w:rFonts w:ascii="Arial" w:hAnsi="Arial" w:cs="Arial"/>
          <w:szCs w:val="24"/>
        </w:rPr>
        <w:t>funds</w:t>
      </w:r>
      <w:r>
        <w:rPr>
          <w:rFonts w:ascii="Arial" w:hAnsi="Arial" w:cs="Arial"/>
          <w:szCs w:val="24"/>
        </w:rPr>
        <w:t>. This transition plan</w:t>
      </w:r>
      <w:r w:rsidR="006410FE">
        <w:rPr>
          <w:rFonts w:ascii="Arial" w:hAnsi="Arial" w:cs="Arial"/>
          <w:szCs w:val="24"/>
        </w:rPr>
        <w:t xml:space="preserve"> </w:t>
      </w:r>
      <w:r w:rsidR="00E972F5">
        <w:rPr>
          <w:rFonts w:ascii="Arial" w:hAnsi="Arial" w:cs="Arial"/>
          <w:szCs w:val="24"/>
        </w:rPr>
        <w:t xml:space="preserve">outlines </w:t>
      </w:r>
      <w:r w:rsidR="00BB7B67">
        <w:rPr>
          <w:rFonts w:ascii="Arial" w:hAnsi="Arial" w:cs="Arial"/>
          <w:szCs w:val="24"/>
        </w:rPr>
        <w:t xml:space="preserve">Metro’s current </w:t>
      </w:r>
      <w:r w:rsidR="00F63DD4">
        <w:rPr>
          <w:rFonts w:ascii="Arial" w:hAnsi="Arial" w:cs="Arial"/>
          <w:szCs w:val="24"/>
        </w:rPr>
        <w:t xml:space="preserve">planned </w:t>
      </w:r>
      <w:r w:rsidR="00E972F5">
        <w:rPr>
          <w:rFonts w:ascii="Arial" w:hAnsi="Arial" w:cs="Arial"/>
          <w:szCs w:val="24"/>
        </w:rPr>
        <w:t xml:space="preserve">timeline and strategy to achieve a zero-emission revenue fleet by 2035. </w:t>
      </w:r>
    </w:p>
    <w:p w14:paraId="1888D1E8" w14:textId="77777777" w:rsidR="003C2C25" w:rsidRDefault="003C2C25" w:rsidP="00C72B44">
      <w:pPr>
        <w:spacing w:line="264" w:lineRule="auto"/>
        <w:jc w:val="both"/>
        <w:rPr>
          <w:rFonts w:ascii="Arial" w:hAnsi="Arial" w:cs="Arial"/>
          <w:szCs w:val="24"/>
        </w:rPr>
      </w:pPr>
    </w:p>
    <w:p w14:paraId="7B60E787" w14:textId="6771CBF1" w:rsidR="00274647" w:rsidRDefault="00BC0435" w:rsidP="00EB4525">
      <w:pPr>
        <w:pStyle w:val="ListParagraph"/>
        <w:numPr>
          <w:ilvl w:val="0"/>
          <w:numId w:val="13"/>
        </w:numPr>
        <w:spacing w:line="264" w:lineRule="auto"/>
        <w:jc w:val="both"/>
        <w:rPr>
          <w:rFonts w:ascii="Arial" w:hAnsi="Arial" w:cs="Arial"/>
          <w:szCs w:val="24"/>
        </w:rPr>
      </w:pPr>
      <w:r w:rsidRPr="009C52EA">
        <w:rPr>
          <w:rFonts w:ascii="Arial" w:hAnsi="Arial" w:cs="Arial"/>
          <w:b/>
          <w:bCs/>
          <w:szCs w:val="24"/>
        </w:rPr>
        <w:t>Fleet purchase plan</w:t>
      </w:r>
      <w:r w:rsidR="005155E9" w:rsidRPr="009C52EA">
        <w:rPr>
          <w:rFonts w:ascii="Arial" w:hAnsi="Arial" w:cs="Arial"/>
          <w:b/>
          <w:bCs/>
          <w:szCs w:val="24"/>
        </w:rPr>
        <w:t>.</w:t>
      </w:r>
      <w:r w:rsidR="005155E9">
        <w:rPr>
          <w:rFonts w:ascii="Arial" w:hAnsi="Arial" w:cs="Arial"/>
          <w:szCs w:val="24"/>
        </w:rPr>
        <w:t xml:space="preserve"> Metro’s revenue bus fleet currently comprises </w:t>
      </w:r>
      <w:r w:rsidR="00500D48">
        <w:rPr>
          <w:rFonts w:ascii="Arial" w:hAnsi="Arial" w:cs="Arial"/>
          <w:szCs w:val="24"/>
        </w:rPr>
        <w:t>approximately</w:t>
      </w:r>
      <w:r w:rsidR="005155E9">
        <w:rPr>
          <w:rFonts w:ascii="Arial" w:hAnsi="Arial" w:cs="Arial"/>
          <w:szCs w:val="24"/>
        </w:rPr>
        <w:t xml:space="preserve"> 1,400 vehicles, including 174 electric trolley buses</w:t>
      </w:r>
      <w:r w:rsidR="00597138">
        <w:rPr>
          <w:rFonts w:ascii="Arial" w:hAnsi="Arial" w:cs="Arial"/>
          <w:szCs w:val="24"/>
        </w:rPr>
        <w:t xml:space="preserve"> and</w:t>
      </w:r>
      <w:r w:rsidR="00B42E91">
        <w:rPr>
          <w:rFonts w:ascii="Arial" w:hAnsi="Arial" w:cs="Arial"/>
          <w:szCs w:val="24"/>
        </w:rPr>
        <w:t xml:space="preserve"> 51 battery electric buses</w:t>
      </w:r>
      <w:r w:rsidR="001121BC">
        <w:rPr>
          <w:rFonts w:ascii="Arial" w:hAnsi="Arial" w:cs="Arial"/>
          <w:szCs w:val="24"/>
        </w:rPr>
        <w:t>.</w:t>
      </w:r>
      <w:r w:rsidR="00B42E91">
        <w:rPr>
          <w:rStyle w:val="FootnoteReference"/>
          <w:rFonts w:ascii="Arial" w:hAnsi="Arial" w:cs="Arial"/>
          <w:szCs w:val="24"/>
        </w:rPr>
        <w:footnoteReference w:id="29"/>
      </w:r>
      <w:r w:rsidR="001121BC">
        <w:rPr>
          <w:rFonts w:ascii="Arial" w:hAnsi="Arial" w:cs="Arial"/>
          <w:szCs w:val="24"/>
        </w:rPr>
        <w:t xml:space="preserve"> Over the next 12 years, Metro plans to </w:t>
      </w:r>
      <w:r w:rsidR="009C52EA">
        <w:rPr>
          <w:rFonts w:ascii="Arial" w:hAnsi="Arial" w:cs="Arial"/>
          <w:szCs w:val="24"/>
        </w:rPr>
        <w:t>purchase 30 additional trolley buses and 1,334 additional battery electric buses</w:t>
      </w:r>
      <w:r w:rsidR="00C91903">
        <w:rPr>
          <w:rFonts w:ascii="Arial" w:hAnsi="Arial" w:cs="Arial"/>
          <w:szCs w:val="24"/>
        </w:rPr>
        <w:t xml:space="preserve"> (BEBs)</w:t>
      </w:r>
      <w:r w:rsidR="009C52EA">
        <w:rPr>
          <w:rFonts w:ascii="Arial" w:hAnsi="Arial" w:cs="Arial"/>
          <w:szCs w:val="24"/>
        </w:rPr>
        <w:t xml:space="preserve">. </w:t>
      </w:r>
      <w:r w:rsidR="009C52EA" w:rsidRPr="003F5FBC">
        <w:rPr>
          <w:rFonts w:ascii="Arial" w:hAnsi="Arial" w:cs="Arial"/>
          <w:szCs w:val="24"/>
        </w:rPr>
        <w:t xml:space="preserve">Table </w:t>
      </w:r>
      <w:r w:rsidR="003F5FBC" w:rsidRPr="003F5FBC">
        <w:rPr>
          <w:rFonts w:ascii="Arial" w:hAnsi="Arial" w:cs="Arial"/>
          <w:szCs w:val="24"/>
        </w:rPr>
        <w:t>5</w:t>
      </w:r>
      <w:r w:rsidR="009C52EA" w:rsidRPr="003F5FBC">
        <w:rPr>
          <w:rFonts w:ascii="Arial" w:hAnsi="Arial" w:cs="Arial"/>
          <w:szCs w:val="24"/>
        </w:rPr>
        <w:t xml:space="preserve"> shows</w:t>
      </w:r>
      <w:r w:rsidR="009C52EA">
        <w:rPr>
          <w:rFonts w:ascii="Arial" w:hAnsi="Arial" w:cs="Arial"/>
          <w:szCs w:val="24"/>
        </w:rPr>
        <w:t xml:space="preserve"> Metro’s bus purchase plan as of May 2022.</w:t>
      </w:r>
    </w:p>
    <w:p w14:paraId="0931FCBA" w14:textId="4966C58E" w:rsidR="009C52EA" w:rsidRDefault="009C52EA" w:rsidP="009C52EA">
      <w:pPr>
        <w:spacing w:line="264" w:lineRule="auto"/>
        <w:jc w:val="both"/>
        <w:rPr>
          <w:rFonts w:ascii="Arial" w:hAnsi="Arial" w:cs="Arial"/>
          <w:szCs w:val="24"/>
        </w:rPr>
      </w:pPr>
    </w:p>
    <w:p w14:paraId="5ED5C102" w14:textId="745902DF" w:rsidR="009907B9" w:rsidRPr="009907B9" w:rsidRDefault="009907B9" w:rsidP="009907B9">
      <w:pPr>
        <w:jc w:val="center"/>
        <w:rPr>
          <w:rFonts w:ascii="Arial" w:hAnsi="Arial" w:cs="Arial"/>
          <w:b/>
          <w:bCs/>
        </w:rPr>
      </w:pPr>
      <w:r w:rsidRPr="003F5FBC">
        <w:rPr>
          <w:rFonts w:ascii="Arial" w:hAnsi="Arial" w:cs="Arial"/>
          <w:b/>
          <w:bCs/>
        </w:rPr>
        <w:t xml:space="preserve">Table </w:t>
      </w:r>
      <w:r w:rsidR="003F5FBC" w:rsidRPr="003F5FBC">
        <w:rPr>
          <w:rFonts w:ascii="Arial" w:hAnsi="Arial" w:cs="Arial"/>
          <w:b/>
          <w:bCs/>
        </w:rPr>
        <w:t>5</w:t>
      </w:r>
      <w:r w:rsidRPr="003F5FBC">
        <w:rPr>
          <w:rFonts w:ascii="Arial" w:hAnsi="Arial" w:cs="Arial"/>
          <w:b/>
          <w:bCs/>
        </w:rPr>
        <w:t>. Metro</w:t>
      </w:r>
      <w:r w:rsidRPr="009907B9">
        <w:rPr>
          <w:rFonts w:ascii="Arial" w:hAnsi="Arial" w:cs="Arial"/>
          <w:b/>
          <w:bCs/>
        </w:rPr>
        <w:t xml:space="preserve"> Bus Purchase Plan</w:t>
      </w:r>
      <w:r>
        <w:rPr>
          <w:rStyle w:val="FootnoteReference"/>
          <w:rFonts w:ascii="Arial" w:hAnsi="Arial" w:cs="Arial"/>
          <w:b/>
          <w:bCs/>
        </w:rPr>
        <w:footnoteReference w:id="30"/>
      </w:r>
    </w:p>
    <w:p w14:paraId="495A570C" w14:textId="77777777" w:rsidR="009907B9" w:rsidRPr="009907B9" w:rsidRDefault="009907B9" w:rsidP="009907B9">
      <w:pPr>
        <w:jc w:val="center"/>
        <w:rPr>
          <w:rFonts w:ascii="Arial" w:hAnsi="Arial" w:cs="Arial"/>
        </w:rPr>
      </w:pPr>
    </w:p>
    <w:tbl>
      <w:tblPr>
        <w:tblStyle w:val="TableGrid"/>
        <w:tblW w:w="0" w:type="auto"/>
        <w:tblLook w:val="04A0" w:firstRow="1" w:lastRow="0" w:firstColumn="1" w:lastColumn="0" w:noHBand="0" w:noVBand="1"/>
      </w:tblPr>
      <w:tblGrid>
        <w:gridCol w:w="777"/>
        <w:gridCol w:w="667"/>
        <w:gridCol w:w="668"/>
        <w:gridCol w:w="668"/>
        <w:gridCol w:w="668"/>
        <w:gridCol w:w="668"/>
        <w:gridCol w:w="668"/>
        <w:gridCol w:w="668"/>
        <w:gridCol w:w="668"/>
        <w:gridCol w:w="668"/>
        <w:gridCol w:w="668"/>
        <w:gridCol w:w="668"/>
        <w:gridCol w:w="668"/>
        <w:gridCol w:w="750"/>
      </w:tblGrid>
      <w:tr w:rsidR="009907B9" w14:paraId="67B3DFB8" w14:textId="77777777" w:rsidTr="004B0514">
        <w:trPr>
          <w:tblHeader/>
        </w:trPr>
        <w:tc>
          <w:tcPr>
            <w:tcW w:w="667" w:type="dxa"/>
            <w:tcBorders>
              <w:top w:val="nil"/>
              <w:left w:val="nil"/>
            </w:tcBorders>
          </w:tcPr>
          <w:p w14:paraId="29CA41B9" w14:textId="77777777" w:rsidR="009907B9" w:rsidRPr="009907B9" w:rsidRDefault="009907B9" w:rsidP="004B0514">
            <w:pPr>
              <w:spacing w:before="20" w:after="20"/>
              <w:rPr>
                <w:rFonts w:ascii="Arial" w:hAnsi="Arial" w:cs="Arial"/>
                <w:sz w:val="16"/>
                <w:szCs w:val="16"/>
              </w:rPr>
            </w:pPr>
          </w:p>
        </w:tc>
        <w:tc>
          <w:tcPr>
            <w:tcW w:w="667" w:type="dxa"/>
            <w:tcBorders>
              <w:top w:val="nil"/>
            </w:tcBorders>
            <w:vAlign w:val="center"/>
          </w:tcPr>
          <w:p w14:paraId="4F48324B" w14:textId="77777777" w:rsidR="009907B9" w:rsidRPr="009907B9" w:rsidRDefault="009907B9" w:rsidP="004B0514">
            <w:pPr>
              <w:spacing w:before="20" w:after="20"/>
              <w:jc w:val="center"/>
              <w:rPr>
                <w:rFonts w:ascii="Arial" w:hAnsi="Arial" w:cs="Arial"/>
                <w:b/>
                <w:bCs/>
                <w:sz w:val="16"/>
                <w:szCs w:val="16"/>
              </w:rPr>
            </w:pPr>
            <w:r w:rsidRPr="009907B9">
              <w:rPr>
                <w:rFonts w:ascii="Arial" w:hAnsi="Arial" w:cs="Arial"/>
                <w:b/>
                <w:bCs/>
                <w:sz w:val="16"/>
                <w:szCs w:val="16"/>
              </w:rPr>
              <w:t>2024</w:t>
            </w:r>
          </w:p>
        </w:tc>
        <w:tc>
          <w:tcPr>
            <w:tcW w:w="668" w:type="dxa"/>
            <w:tcBorders>
              <w:top w:val="nil"/>
            </w:tcBorders>
            <w:vAlign w:val="center"/>
          </w:tcPr>
          <w:p w14:paraId="1FBE4A27" w14:textId="77777777" w:rsidR="009907B9" w:rsidRPr="009907B9" w:rsidRDefault="009907B9" w:rsidP="004B0514">
            <w:pPr>
              <w:spacing w:before="20" w:after="20"/>
              <w:jc w:val="center"/>
              <w:rPr>
                <w:rFonts w:ascii="Arial" w:hAnsi="Arial" w:cs="Arial"/>
                <w:b/>
                <w:bCs/>
                <w:sz w:val="16"/>
                <w:szCs w:val="16"/>
              </w:rPr>
            </w:pPr>
            <w:r w:rsidRPr="009907B9">
              <w:rPr>
                <w:rFonts w:ascii="Arial" w:hAnsi="Arial" w:cs="Arial"/>
                <w:b/>
                <w:bCs/>
                <w:sz w:val="16"/>
                <w:szCs w:val="16"/>
              </w:rPr>
              <w:t>2025</w:t>
            </w:r>
          </w:p>
        </w:tc>
        <w:tc>
          <w:tcPr>
            <w:tcW w:w="668" w:type="dxa"/>
            <w:tcBorders>
              <w:top w:val="nil"/>
            </w:tcBorders>
            <w:vAlign w:val="center"/>
          </w:tcPr>
          <w:p w14:paraId="622F8B04" w14:textId="77777777" w:rsidR="009907B9" w:rsidRPr="009907B9" w:rsidRDefault="009907B9" w:rsidP="004B0514">
            <w:pPr>
              <w:spacing w:before="20" w:after="20"/>
              <w:jc w:val="center"/>
              <w:rPr>
                <w:rFonts w:ascii="Arial" w:hAnsi="Arial" w:cs="Arial"/>
                <w:b/>
                <w:bCs/>
                <w:sz w:val="16"/>
                <w:szCs w:val="16"/>
              </w:rPr>
            </w:pPr>
            <w:r w:rsidRPr="009907B9">
              <w:rPr>
                <w:rFonts w:ascii="Arial" w:hAnsi="Arial" w:cs="Arial"/>
                <w:b/>
                <w:bCs/>
                <w:sz w:val="16"/>
                <w:szCs w:val="16"/>
              </w:rPr>
              <w:t>2026</w:t>
            </w:r>
          </w:p>
        </w:tc>
        <w:tc>
          <w:tcPr>
            <w:tcW w:w="668" w:type="dxa"/>
            <w:tcBorders>
              <w:top w:val="nil"/>
            </w:tcBorders>
            <w:vAlign w:val="center"/>
          </w:tcPr>
          <w:p w14:paraId="54F4F1EB" w14:textId="77777777" w:rsidR="009907B9" w:rsidRPr="009907B9" w:rsidRDefault="009907B9" w:rsidP="004B0514">
            <w:pPr>
              <w:spacing w:before="20" w:after="20"/>
              <w:jc w:val="center"/>
              <w:rPr>
                <w:rFonts w:ascii="Arial" w:hAnsi="Arial" w:cs="Arial"/>
                <w:b/>
                <w:bCs/>
                <w:sz w:val="16"/>
                <w:szCs w:val="16"/>
              </w:rPr>
            </w:pPr>
            <w:r w:rsidRPr="009907B9">
              <w:rPr>
                <w:rFonts w:ascii="Arial" w:hAnsi="Arial" w:cs="Arial"/>
                <w:b/>
                <w:bCs/>
                <w:sz w:val="16"/>
                <w:szCs w:val="16"/>
              </w:rPr>
              <w:t>2027</w:t>
            </w:r>
          </w:p>
        </w:tc>
        <w:tc>
          <w:tcPr>
            <w:tcW w:w="668" w:type="dxa"/>
            <w:tcBorders>
              <w:top w:val="nil"/>
            </w:tcBorders>
            <w:vAlign w:val="center"/>
          </w:tcPr>
          <w:p w14:paraId="53F19990" w14:textId="77777777" w:rsidR="009907B9" w:rsidRPr="009907B9" w:rsidRDefault="009907B9" w:rsidP="004B0514">
            <w:pPr>
              <w:spacing w:before="20" w:after="20"/>
              <w:jc w:val="center"/>
              <w:rPr>
                <w:rFonts w:ascii="Arial" w:hAnsi="Arial" w:cs="Arial"/>
                <w:b/>
                <w:bCs/>
                <w:sz w:val="16"/>
                <w:szCs w:val="16"/>
              </w:rPr>
            </w:pPr>
            <w:r w:rsidRPr="009907B9">
              <w:rPr>
                <w:rFonts w:ascii="Arial" w:hAnsi="Arial" w:cs="Arial"/>
                <w:b/>
                <w:bCs/>
                <w:sz w:val="16"/>
                <w:szCs w:val="16"/>
              </w:rPr>
              <w:t>2028</w:t>
            </w:r>
          </w:p>
        </w:tc>
        <w:tc>
          <w:tcPr>
            <w:tcW w:w="668" w:type="dxa"/>
            <w:tcBorders>
              <w:top w:val="nil"/>
            </w:tcBorders>
            <w:vAlign w:val="center"/>
          </w:tcPr>
          <w:p w14:paraId="769D174E" w14:textId="77777777" w:rsidR="009907B9" w:rsidRPr="009907B9" w:rsidRDefault="009907B9" w:rsidP="004B0514">
            <w:pPr>
              <w:spacing w:before="20" w:after="20"/>
              <w:jc w:val="center"/>
              <w:rPr>
                <w:rFonts w:ascii="Arial" w:hAnsi="Arial" w:cs="Arial"/>
                <w:b/>
                <w:bCs/>
                <w:sz w:val="16"/>
                <w:szCs w:val="16"/>
              </w:rPr>
            </w:pPr>
            <w:r w:rsidRPr="009907B9">
              <w:rPr>
                <w:rFonts w:ascii="Arial" w:hAnsi="Arial" w:cs="Arial"/>
                <w:b/>
                <w:bCs/>
                <w:sz w:val="16"/>
                <w:szCs w:val="16"/>
              </w:rPr>
              <w:t>2029</w:t>
            </w:r>
          </w:p>
        </w:tc>
        <w:tc>
          <w:tcPr>
            <w:tcW w:w="668" w:type="dxa"/>
            <w:tcBorders>
              <w:top w:val="nil"/>
            </w:tcBorders>
            <w:vAlign w:val="center"/>
          </w:tcPr>
          <w:p w14:paraId="0393FE0E" w14:textId="77777777" w:rsidR="009907B9" w:rsidRPr="009907B9" w:rsidRDefault="009907B9" w:rsidP="004B0514">
            <w:pPr>
              <w:spacing w:before="20" w:after="20"/>
              <w:jc w:val="center"/>
              <w:rPr>
                <w:rFonts w:ascii="Arial" w:hAnsi="Arial" w:cs="Arial"/>
                <w:b/>
                <w:bCs/>
                <w:sz w:val="16"/>
                <w:szCs w:val="16"/>
              </w:rPr>
            </w:pPr>
            <w:r w:rsidRPr="009907B9">
              <w:rPr>
                <w:rFonts w:ascii="Arial" w:hAnsi="Arial" w:cs="Arial"/>
                <w:b/>
                <w:bCs/>
                <w:sz w:val="16"/>
                <w:szCs w:val="16"/>
              </w:rPr>
              <w:t>2030</w:t>
            </w:r>
          </w:p>
        </w:tc>
        <w:tc>
          <w:tcPr>
            <w:tcW w:w="668" w:type="dxa"/>
            <w:tcBorders>
              <w:top w:val="nil"/>
            </w:tcBorders>
            <w:vAlign w:val="center"/>
          </w:tcPr>
          <w:p w14:paraId="5F861628" w14:textId="77777777" w:rsidR="009907B9" w:rsidRPr="009907B9" w:rsidRDefault="009907B9" w:rsidP="004B0514">
            <w:pPr>
              <w:spacing w:before="20" w:after="20"/>
              <w:jc w:val="center"/>
              <w:rPr>
                <w:rFonts w:ascii="Arial" w:hAnsi="Arial" w:cs="Arial"/>
                <w:b/>
                <w:bCs/>
                <w:sz w:val="16"/>
                <w:szCs w:val="16"/>
              </w:rPr>
            </w:pPr>
            <w:r w:rsidRPr="009907B9">
              <w:rPr>
                <w:rFonts w:ascii="Arial" w:hAnsi="Arial" w:cs="Arial"/>
                <w:b/>
                <w:bCs/>
                <w:sz w:val="16"/>
                <w:szCs w:val="16"/>
              </w:rPr>
              <w:t>2031</w:t>
            </w:r>
          </w:p>
        </w:tc>
        <w:tc>
          <w:tcPr>
            <w:tcW w:w="668" w:type="dxa"/>
            <w:tcBorders>
              <w:top w:val="nil"/>
            </w:tcBorders>
            <w:vAlign w:val="center"/>
          </w:tcPr>
          <w:p w14:paraId="360CE9C7" w14:textId="77777777" w:rsidR="009907B9" w:rsidRPr="009907B9" w:rsidRDefault="009907B9" w:rsidP="004B0514">
            <w:pPr>
              <w:spacing w:before="20" w:after="20"/>
              <w:jc w:val="center"/>
              <w:rPr>
                <w:rFonts w:ascii="Arial" w:hAnsi="Arial" w:cs="Arial"/>
                <w:b/>
                <w:bCs/>
                <w:sz w:val="16"/>
                <w:szCs w:val="16"/>
              </w:rPr>
            </w:pPr>
            <w:r w:rsidRPr="009907B9">
              <w:rPr>
                <w:rFonts w:ascii="Arial" w:hAnsi="Arial" w:cs="Arial"/>
                <w:b/>
                <w:bCs/>
                <w:sz w:val="16"/>
                <w:szCs w:val="16"/>
              </w:rPr>
              <w:t>2032</w:t>
            </w:r>
          </w:p>
        </w:tc>
        <w:tc>
          <w:tcPr>
            <w:tcW w:w="668" w:type="dxa"/>
            <w:tcBorders>
              <w:top w:val="nil"/>
            </w:tcBorders>
            <w:vAlign w:val="center"/>
          </w:tcPr>
          <w:p w14:paraId="28714AB1" w14:textId="77777777" w:rsidR="009907B9" w:rsidRPr="009907B9" w:rsidRDefault="009907B9" w:rsidP="004B0514">
            <w:pPr>
              <w:spacing w:before="20" w:after="20"/>
              <w:jc w:val="center"/>
              <w:rPr>
                <w:rFonts w:ascii="Arial" w:hAnsi="Arial" w:cs="Arial"/>
                <w:b/>
                <w:bCs/>
                <w:sz w:val="16"/>
                <w:szCs w:val="16"/>
              </w:rPr>
            </w:pPr>
            <w:r w:rsidRPr="009907B9">
              <w:rPr>
                <w:rFonts w:ascii="Arial" w:hAnsi="Arial" w:cs="Arial"/>
                <w:b/>
                <w:bCs/>
                <w:sz w:val="16"/>
                <w:szCs w:val="16"/>
              </w:rPr>
              <w:t>2033</w:t>
            </w:r>
          </w:p>
        </w:tc>
        <w:tc>
          <w:tcPr>
            <w:tcW w:w="668" w:type="dxa"/>
            <w:tcBorders>
              <w:top w:val="nil"/>
            </w:tcBorders>
            <w:vAlign w:val="center"/>
          </w:tcPr>
          <w:p w14:paraId="1D4B2226" w14:textId="77777777" w:rsidR="009907B9" w:rsidRPr="009907B9" w:rsidRDefault="009907B9" w:rsidP="004B0514">
            <w:pPr>
              <w:spacing w:before="20" w:after="20"/>
              <w:jc w:val="center"/>
              <w:rPr>
                <w:rFonts w:ascii="Arial" w:hAnsi="Arial" w:cs="Arial"/>
                <w:b/>
                <w:bCs/>
                <w:sz w:val="16"/>
                <w:szCs w:val="16"/>
              </w:rPr>
            </w:pPr>
            <w:r w:rsidRPr="009907B9">
              <w:rPr>
                <w:rFonts w:ascii="Arial" w:hAnsi="Arial" w:cs="Arial"/>
                <w:b/>
                <w:bCs/>
                <w:sz w:val="16"/>
                <w:szCs w:val="16"/>
              </w:rPr>
              <w:t>2034</w:t>
            </w:r>
          </w:p>
        </w:tc>
        <w:tc>
          <w:tcPr>
            <w:tcW w:w="668" w:type="dxa"/>
            <w:tcBorders>
              <w:top w:val="nil"/>
            </w:tcBorders>
            <w:vAlign w:val="center"/>
          </w:tcPr>
          <w:p w14:paraId="6669C7F8" w14:textId="77777777" w:rsidR="009907B9" w:rsidRPr="009907B9" w:rsidRDefault="009907B9" w:rsidP="004B0514">
            <w:pPr>
              <w:spacing w:before="20" w:after="20"/>
              <w:jc w:val="center"/>
              <w:rPr>
                <w:rFonts w:ascii="Arial" w:hAnsi="Arial" w:cs="Arial"/>
                <w:b/>
                <w:bCs/>
                <w:sz w:val="16"/>
                <w:szCs w:val="16"/>
              </w:rPr>
            </w:pPr>
            <w:r w:rsidRPr="009907B9">
              <w:rPr>
                <w:rFonts w:ascii="Arial" w:hAnsi="Arial" w:cs="Arial"/>
                <w:b/>
                <w:bCs/>
                <w:sz w:val="16"/>
                <w:szCs w:val="16"/>
              </w:rPr>
              <w:t>2035</w:t>
            </w:r>
          </w:p>
        </w:tc>
        <w:tc>
          <w:tcPr>
            <w:tcW w:w="668" w:type="dxa"/>
            <w:tcBorders>
              <w:top w:val="nil"/>
              <w:right w:val="nil"/>
            </w:tcBorders>
            <w:vAlign w:val="center"/>
          </w:tcPr>
          <w:p w14:paraId="03296FD5" w14:textId="77777777" w:rsidR="009907B9" w:rsidRPr="009907B9" w:rsidRDefault="009907B9" w:rsidP="004B0514">
            <w:pPr>
              <w:spacing w:before="20" w:after="20"/>
              <w:jc w:val="center"/>
              <w:rPr>
                <w:rFonts w:ascii="Arial" w:hAnsi="Arial" w:cs="Arial"/>
                <w:b/>
                <w:bCs/>
                <w:sz w:val="16"/>
                <w:szCs w:val="16"/>
              </w:rPr>
            </w:pPr>
            <w:r w:rsidRPr="009907B9">
              <w:rPr>
                <w:rFonts w:ascii="Arial" w:hAnsi="Arial" w:cs="Arial"/>
                <w:b/>
                <w:bCs/>
                <w:sz w:val="16"/>
                <w:szCs w:val="16"/>
              </w:rPr>
              <w:t>TOTAL</w:t>
            </w:r>
          </w:p>
        </w:tc>
      </w:tr>
      <w:tr w:rsidR="009907B9" w14:paraId="528FA5C1" w14:textId="77777777" w:rsidTr="005A6577">
        <w:tc>
          <w:tcPr>
            <w:tcW w:w="667" w:type="dxa"/>
            <w:tcBorders>
              <w:left w:val="nil"/>
            </w:tcBorders>
          </w:tcPr>
          <w:p w14:paraId="7A9A8F87" w14:textId="77777777" w:rsidR="009907B9" w:rsidRPr="009907B9" w:rsidRDefault="009907B9" w:rsidP="004B0514">
            <w:pPr>
              <w:spacing w:before="20" w:after="20"/>
              <w:rPr>
                <w:rFonts w:ascii="Arial" w:hAnsi="Arial" w:cs="Arial"/>
                <w:sz w:val="16"/>
                <w:szCs w:val="16"/>
              </w:rPr>
            </w:pPr>
            <w:r w:rsidRPr="009907B9">
              <w:rPr>
                <w:rFonts w:ascii="Arial" w:hAnsi="Arial" w:cs="Arial"/>
                <w:sz w:val="16"/>
                <w:szCs w:val="16"/>
              </w:rPr>
              <w:t>BEBs</w:t>
            </w:r>
          </w:p>
        </w:tc>
        <w:tc>
          <w:tcPr>
            <w:tcW w:w="667" w:type="dxa"/>
            <w:vAlign w:val="center"/>
          </w:tcPr>
          <w:p w14:paraId="16811E4A" w14:textId="77777777" w:rsidR="009907B9" w:rsidRPr="009907B9" w:rsidRDefault="009907B9" w:rsidP="004B0514">
            <w:pPr>
              <w:spacing w:before="20" w:after="20"/>
              <w:jc w:val="center"/>
              <w:rPr>
                <w:rFonts w:ascii="Arial" w:hAnsi="Arial" w:cs="Arial"/>
                <w:sz w:val="16"/>
                <w:szCs w:val="16"/>
              </w:rPr>
            </w:pPr>
          </w:p>
        </w:tc>
        <w:tc>
          <w:tcPr>
            <w:tcW w:w="668" w:type="dxa"/>
            <w:vAlign w:val="center"/>
          </w:tcPr>
          <w:p w14:paraId="7273B441" w14:textId="77777777" w:rsidR="009907B9" w:rsidRPr="009907B9" w:rsidRDefault="009907B9" w:rsidP="004B0514">
            <w:pPr>
              <w:spacing w:before="20" w:after="20"/>
              <w:jc w:val="center"/>
              <w:rPr>
                <w:rFonts w:ascii="Arial" w:hAnsi="Arial" w:cs="Arial"/>
                <w:sz w:val="16"/>
                <w:szCs w:val="16"/>
              </w:rPr>
            </w:pPr>
            <w:r w:rsidRPr="009907B9">
              <w:rPr>
                <w:rFonts w:ascii="Arial" w:hAnsi="Arial" w:cs="Arial"/>
                <w:sz w:val="16"/>
                <w:szCs w:val="16"/>
              </w:rPr>
              <w:t>120</w:t>
            </w:r>
          </w:p>
        </w:tc>
        <w:tc>
          <w:tcPr>
            <w:tcW w:w="668" w:type="dxa"/>
            <w:vAlign w:val="center"/>
          </w:tcPr>
          <w:p w14:paraId="5BD7045E" w14:textId="77777777" w:rsidR="009907B9" w:rsidRPr="009907B9" w:rsidRDefault="009907B9" w:rsidP="004B0514">
            <w:pPr>
              <w:spacing w:before="20" w:after="20"/>
              <w:jc w:val="center"/>
              <w:rPr>
                <w:rFonts w:ascii="Arial" w:hAnsi="Arial" w:cs="Arial"/>
                <w:sz w:val="16"/>
                <w:szCs w:val="16"/>
              </w:rPr>
            </w:pPr>
          </w:p>
        </w:tc>
        <w:tc>
          <w:tcPr>
            <w:tcW w:w="668" w:type="dxa"/>
            <w:vAlign w:val="center"/>
          </w:tcPr>
          <w:p w14:paraId="62CF7392" w14:textId="77777777" w:rsidR="009907B9" w:rsidRPr="009907B9" w:rsidRDefault="009907B9" w:rsidP="004B0514">
            <w:pPr>
              <w:spacing w:before="20" w:after="20"/>
              <w:jc w:val="center"/>
              <w:rPr>
                <w:rFonts w:ascii="Arial" w:hAnsi="Arial" w:cs="Arial"/>
                <w:sz w:val="16"/>
                <w:szCs w:val="16"/>
              </w:rPr>
            </w:pPr>
          </w:p>
        </w:tc>
        <w:tc>
          <w:tcPr>
            <w:tcW w:w="668" w:type="dxa"/>
            <w:vAlign w:val="center"/>
          </w:tcPr>
          <w:p w14:paraId="4B9197AF" w14:textId="77777777" w:rsidR="009907B9" w:rsidRPr="009907B9" w:rsidRDefault="009907B9" w:rsidP="004B0514">
            <w:pPr>
              <w:spacing w:before="20" w:after="20"/>
              <w:jc w:val="center"/>
              <w:rPr>
                <w:rFonts w:ascii="Arial" w:hAnsi="Arial" w:cs="Arial"/>
                <w:sz w:val="16"/>
                <w:szCs w:val="16"/>
              </w:rPr>
            </w:pPr>
            <w:r w:rsidRPr="009907B9">
              <w:rPr>
                <w:rFonts w:ascii="Arial" w:hAnsi="Arial" w:cs="Arial"/>
                <w:sz w:val="16"/>
                <w:szCs w:val="16"/>
              </w:rPr>
              <w:t>240</w:t>
            </w:r>
          </w:p>
        </w:tc>
        <w:tc>
          <w:tcPr>
            <w:tcW w:w="668" w:type="dxa"/>
            <w:vAlign w:val="center"/>
          </w:tcPr>
          <w:p w14:paraId="2B74E0C7" w14:textId="77777777" w:rsidR="009907B9" w:rsidRPr="009907B9" w:rsidRDefault="009907B9" w:rsidP="004B0514">
            <w:pPr>
              <w:spacing w:before="20" w:after="20"/>
              <w:jc w:val="center"/>
              <w:rPr>
                <w:rFonts w:ascii="Arial" w:hAnsi="Arial" w:cs="Arial"/>
                <w:sz w:val="16"/>
                <w:szCs w:val="16"/>
              </w:rPr>
            </w:pPr>
            <w:r w:rsidRPr="009907B9">
              <w:rPr>
                <w:rFonts w:ascii="Arial" w:hAnsi="Arial" w:cs="Arial"/>
                <w:sz w:val="16"/>
                <w:szCs w:val="16"/>
              </w:rPr>
              <w:t>15</w:t>
            </w:r>
          </w:p>
        </w:tc>
        <w:tc>
          <w:tcPr>
            <w:tcW w:w="668" w:type="dxa"/>
            <w:vAlign w:val="center"/>
          </w:tcPr>
          <w:p w14:paraId="3DE001B8" w14:textId="77777777" w:rsidR="009907B9" w:rsidRPr="009907B9" w:rsidRDefault="009907B9" w:rsidP="004B0514">
            <w:pPr>
              <w:spacing w:before="20" w:after="20"/>
              <w:jc w:val="center"/>
              <w:rPr>
                <w:rFonts w:ascii="Arial" w:hAnsi="Arial" w:cs="Arial"/>
                <w:sz w:val="16"/>
                <w:szCs w:val="16"/>
              </w:rPr>
            </w:pPr>
            <w:r w:rsidRPr="009907B9">
              <w:rPr>
                <w:rFonts w:ascii="Arial" w:hAnsi="Arial" w:cs="Arial"/>
                <w:sz w:val="16"/>
                <w:szCs w:val="16"/>
              </w:rPr>
              <w:t>175</w:t>
            </w:r>
          </w:p>
        </w:tc>
        <w:tc>
          <w:tcPr>
            <w:tcW w:w="668" w:type="dxa"/>
            <w:vAlign w:val="center"/>
          </w:tcPr>
          <w:p w14:paraId="55AEB800" w14:textId="77777777" w:rsidR="009907B9" w:rsidRPr="009907B9" w:rsidRDefault="009907B9" w:rsidP="004B0514">
            <w:pPr>
              <w:spacing w:before="20" w:after="20"/>
              <w:jc w:val="center"/>
              <w:rPr>
                <w:rFonts w:ascii="Arial" w:hAnsi="Arial" w:cs="Arial"/>
                <w:sz w:val="16"/>
                <w:szCs w:val="16"/>
              </w:rPr>
            </w:pPr>
            <w:r w:rsidRPr="009907B9">
              <w:rPr>
                <w:rFonts w:ascii="Arial" w:hAnsi="Arial" w:cs="Arial"/>
                <w:sz w:val="16"/>
                <w:szCs w:val="16"/>
              </w:rPr>
              <w:t>55</w:t>
            </w:r>
          </w:p>
        </w:tc>
        <w:tc>
          <w:tcPr>
            <w:tcW w:w="668" w:type="dxa"/>
            <w:vAlign w:val="center"/>
          </w:tcPr>
          <w:p w14:paraId="2AD5AEC5" w14:textId="77777777" w:rsidR="009907B9" w:rsidRPr="009907B9" w:rsidRDefault="009907B9" w:rsidP="004B0514">
            <w:pPr>
              <w:spacing w:before="20" w:after="20"/>
              <w:jc w:val="center"/>
              <w:rPr>
                <w:rFonts w:ascii="Arial" w:hAnsi="Arial" w:cs="Arial"/>
                <w:sz w:val="16"/>
                <w:szCs w:val="16"/>
              </w:rPr>
            </w:pPr>
            <w:r w:rsidRPr="009907B9">
              <w:rPr>
                <w:rFonts w:ascii="Arial" w:hAnsi="Arial" w:cs="Arial"/>
                <w:sz w:val="16"/>
                <w:szCs w:val="16"/>
              </w:rPr>
              <w:t>235</w:t>
            </w:r>
          </w:p>
        </w:tc>
        <w:tc>
          <w:tcPr>
            <w:tcW w:w="668" w:type="dxa"/>
            <w:vAlign w:val="center"/>
          </w:tcPr>
          <w:p w14:paraId="629E7C14" w14:textId="77777777" w:rsidR="009907B9" w:rsidRPr="009907B9" w:rsidRDefault="009907B9" w:rsidP="004B0514">
            <w:pPr>
              <w:spacing w:before="20" w:after="20"/>
              <w:jc w:val="center"/>
              <w:rPr>
                <w:rFonts w:ascii="Arial" w:hAnsi="Arial" w:cs="Arial"/>
                <w:sz w:val="16"/>
                <w:szCs w:val="16"/>
              </w:rPr>
            </w:pPr>
            <w:r w:rsidRPr="009907B9">
              <w:rPr>
                <w:rFonts w:ascii="Arial" w:hAnsi="Arial" w:cs="Arial"/>
                <w:sz w:val="16"/>
                <w:szCs w:val="16"/>
              </w:rPr>
              <w:t>209</w:t>
            </w:r>
          </w:p>
        </w:tc>
        <w:tc>
          <w:tcPr>
            <w:tcW w:w="668" w:type="dxa"/>
            <w:vAlign w:val="center"/>
          </w:tcPr>
          <w:p w14:paraId="750AF42A" w14:textId="77777777" w:rsidR="009907B9" w:rsidRPr="009907B9" w:rsidRDefault="009907B9" w:rsidP="004B0514">
            <w:pPr>
              <w:spacing w:before="20" w:after="20"/>
              <w:jc w:val="center"/>
              <w:rPr>
                <w:rFonts w:ascii="Arial" w:hAnsi="Arial" w:cs="Arial"/>
                <w:sz w:val="16"/>
                <w:szCs w:val="16"/>
              </w:rPr>
            </w:pPr>
            <w:r w:rsidRPr="009907B9">
              <w:rPr>
                <w:rFonts w:ascii="Arial" w:hAnsi="Arial" w:cs="Arial"/>
                <w:sz w:val="16"/>
                <w:szCs w:val="16"/>
              </w:rPr>
              <w:t>35</w:t>
            </w:r>
          </w:p>
        </w:tc>
        <w:tc>
          <w:tcPr>
            <w:tcW w:w="668" w:type="dxa"/>
            <w:vAlign w:val="center"/>
          </w:tcPr>
          <w:p w14:paraId="4045D47C" w14:textId="77777777" w:rsidR="009907B9" w:rsidRPr="009907B9" w:rsidRDefault="009907B9" w:rsidP="004B0514">
            <w:pPr>
              <w:spacing w:before="20" w:after="20"/>
              <w:jc w:val="center"/>
              <w:rPr>
                <w:rFonts w:ascii="Arial" w:hAnsi="Arial" w:cs="Arial"/>
                <w:sz w:val="16"/>
                <w:szCs w:val="16"/>
              </w:rPr>
            </w:pPr>
            <w:r w:rsidRPr="009907B9">
              <w:rPr>
                <w:rFonts w:ascii="Arial" w:hAnsi="Arial" w:cs="Arial"/>
                <w:sz w:val="16"/>
                <w:szCs w:val="16"/>
              </w:rPr>
              <w:t>250</w:t>
            </w:r>
          </w:p>
        </w:tc>
        <w:tc>
          <w:tcPr>
            <w:tcW w:w="668" w:type="dxa"/>
            <w:tcBorders>
              <w:right w:val="nil"/>
            </w:tcBorders>
            <w:vAlign w:val="center"/>
          </w:tcPr>
          <w:p w14:paraId="51F5822C" w14:textId="77777777" w:rsidR="009907B9" w:rsidRPr="009907B9" w:rsidRDefault="009907B9" w:rsidP="004B0514">
            <w:pPr>
              <w:spacing w:before="20" w:after="20"/>
              <w:jc w:val="center"/>
              <w:rPr>
                <w:rFonts w:ascii="Arial" w:hAnsi="Arial" w:cs="Arial"/>
                <w:b/>
                <w:bCs/>
                <w:sz w:val="16"/>
                <w:szCs w:val="16"/>
              </w:rPr>
            </w:pPr>
            <w:r w:rsidRPr="009907B9">
              <w:rPr>
                <w:rFonts w:ascii="Arial" w:hAnsi="Arial" w:cs="Arial"/>
                <w:b/>
                <w:bCs/>
                <w:sz w:val="16"/>
                <w:szCs w:val="16"/>
              </w:rPr>
              <w:t>1334</w:t>
            </w:r>
          </w:p>
        </w:tc>
      </w:tr>
      <w:tr w:rsidR="009907B9" w14:paraId="3022C700" w14:textId="77777777" w:rsidTr="005A6577">
        <w:tc>
          <w:tcPr>
            <w:tcW w:w="667" w:type="dxa"/>
            <w:tcBorders>
              <w:left w:val="nil"/>
            </w:tcBorders>
          </w:tcPr>
          <w:p w14:paraId="6BD6B9CC" w14:textId="77777777" w:rsidR="009907B9" w:rsidRPr="009907B9" w:rsidRDefault="009907B9" w:rsidP="004B0514">
            <w:pPr>
              <w:spacing w:before="20" w:after="20"/>
              <w:rPr>
                <w:rFonts w:ascii="Arial" w:hAnsi="Arial" w:cs="Arial"/>
                <w:sz w:val="16"/>
                <w:szCs w:val="16"/>
              </w:rPr>
            </w:pPr>
            <w:r w:rsidRPr="009907B9">
              <w:rPr>
                <w:rFonts w:ascii="Arial" w:hAnsi="Arial" w:cs="Arial"/>
                <w:sz w:val="16"/>
                <w:szCs w:val="16"/>
              </w:rPr>
              <w:t>Trolleys</w:t>
            </w:r>
          </w:p>
        </w:tc>
        <w:tc>
          <w:tcPr>
            <w:tcW w:w="667" w:type="dxa"/>
            <w:vAlign w:val="center"/>
          </w:tcPr>
          <w:p w14:paraId="27A2BB66" w14:textId="77777777" w:rsidR="009907B9" w:rsidRPr="009907B9" w:rsidRDefault="009907B9" w:rsidP="004B0514">
            <w:pPr>
              <w:spacing w:before="20" w:after="20"/>
              <w:jc w:val="center"/>
              <w:rPr>
                <w:rFonts w:ascii="Arial" w:hAnsi="Arial" w:cs="Arial"/>
                <w:sz w:val="16"/>
                <w:szCs w:val="16"/>
              </w:rPr>
            </w:pPr>
          </w:p>
        </w:tc>
        <w:tc>
          <w:tcPr>
            <w:tcW w:w="668" w:type="dxa"/>
            <w:vAlign w:val="center"/>
          </w:tcPr>
          <w:p w14:paraId="28FC0E4D" w14:textId="77777777" w:rsidR="009907B9" w:rsidRPr="009907B9" w:rsidRDefault="009907B9" w:rsidP="004B0514">
            <w:pPr>
              <w:spacing w:before="20" w:after="20"/>
              <w:jc w:val="center"/>
              <w:rPr>
                <w:rFonts w:ascii="Arial" w:hAnsi="Arial" w:cs="Arial"/>
                <w:sz w:val="16"/>
                <w:szCs w:val="16"/>
              </w:rPr>
            </w:pPr>
          </w:p>
        </w:tc>
        <w:tc>
          <w:tcPr>
            <w:tcW w:w="668" w:type="dxa"/>
            <w:vAlign w:val="center"/>
          </w:tcPr>
          <w:p w14:paraId="68BD5612" w14:textId="77777777" w:rsidR="009907B9" w:rsidRPr="009907B9" w:rsidRDefault="009907B9" w:rsidP="004B0514">
            <w:pPr>
              <w:spacing w:before="20" w:after="20"/>
              <w:jc w:val="center"/>
              <w:rPr>
                <w:rFonts w:ascii="Arial" w:hAnsi="Arial" w:cs="Arial"/>
                <w:sz w:val="16"/>
                <w:szCs w:val="16"/>
              </w:rPr>
            </w:pPr>
          </w:p>
        </w:tc>
        <w:tc>
          <w:tcPr>
            <w:tcW w:w="668" w:type="dxa"/>
            <w:vAlign w:val="center"/>
          </w:tcPr>
          <w:p w14:paraId="429BCFEC" w14:textId="77777777" w:rsidR="009907B9" w:rsidRPr="009907B9" w:rsidRDefault="009907B9" w:rsidP="004B0514">
            <w:pPr>
              <w:spacing w:before="20" w:after="20"/>
              <w:jc w:val="center"/>
              <w:rPr>
                <w:rFonts w:ascii="Arial" w:hAnsi="Arial" w:cs="Arial"/>
                <w:sz w:val="16"/>
                <w:szCs w:val="16"/>
              </w:rPr>
            </w:pPr>
            <w:r w:rsidRPr="009907B9">
              <w:rPr>
                <w:rFonts w:ascii="Arial" w:hAnsi="Arial" w:cs="Arial"/>
                <w:sz w:val="16"/>
                <w:szCs w:val="16"/>
              </w:rPr>
              <w:t>30</w:t>
            </w:r>
          </w:p>
        </w:tc>
        <w:tc>
          <w:tcPr>
            <w:tcW w:w="668" w:type="dxa"/>
            <w:vAlign w:val="center"/>
          </w:tcPr>
          <w:p w14:paraId="6E847356" w14:textId="77777777" w:rsidR="009907B9" w:rsidRPr="009907B9" w:rsidRDefault="009907B9" w:rsidP="004B0514">
            <w:pPr>
              <w:spacing w:before="20" w:after="20"/>
              <w:jc w:val="center"/>
              <w:rPr>
                <w:rFonts w:ascii="Arial" w:hAnsi="Arial" w:cs="Arial"/>
                <w:sz w:val="16"/>
                <w:szCs w:val="16"/>
              </w:rPr>
            </w:pPr>
          </w:p>
        </w:tc>
        <w:tc>
          <w:tcPr>
            <w:tcW w:w="668" w:type="dxa"/>
            <w:vAlign w:val="center"/>
          </w:tcPr>
          <w:p w14:paraId="6A49ABF1" w14:textId="77777777" w:rsidR="009907B9" w:rsidRPr="009907B9" w:rsidRDefault="009907B9" w:rsidP="004B0514">
            <w:pPr>
              <w:spacing w:before="20" w:after="20"/>
              <w:jc w:val="center"/>
              <w:rPr>
                <w:rFonts w:ascii="Arial" w:hAnsi="Arial" w:cs="Arial"/>
                <w:sz w:val="16"/>
                <w:szCs w:val="16"/>
              </w:rPr>
            </w:pPr>
          </w:p>
        </w:tc>
        <w:tc>
          <w:tcPr>
            <w:tcW w:w="668" w:type="dxa"/>
            <w:vAlign w:val="center"/>
          </w:tcPr>
          <w:p w14:paraId="27562693" w14:textId="77777777" w:rsidR="009907B9" w:rsidRPr="009907B9" w:rsidRDefault="009907B9" w:rsidP="004B0514">
            <w:pPr>
              <w:spacing w:before="20" w:after="20"/>
              <w:jc w:val="center"/>
              <w:rPr>
                <w:rFonts w:ascii="Arial" w:hAnsi="Arial" w:cs="Arial"/>
                <w:sz w:val="16"/>
                <w:szCs w:val="16"/>
              </w:rPr>
            </w:pPr>
          </w:p>
        </w:tc>
        <w:tc>
          <w:tcPr>
            <w:tcW w:w="668" w:type="dxa"/>
            <w:vAlign w:val="center"/>
          </w:tcPr>
          <w:p w14:paraId="2F12B011" w14:textId="77777777" w:rsidR="009907B9" w:rsidRPr="009907B9" w:rsidRDefault="009907B9" w:rsidP="004B0514">
            <w:pPr>
              <w:spacing w:before="20" w:after="20"/>
              <w:jc w:val="center"/>
              <w:rPr>
                <w:rFonts w:ascii="Arial" w:hAnsi="Arial" w:cs="Arial"/>
                <w:sz w:val="16"/>
                <w:szCs w:val="16"/>
              </w:rPr>
            </w:pPr>
          </w:p>
        </w:tc>
        <w:tc>
          <w:tcPr>
            <w:tcW w:w="668" w:type="dxa"/>
            <w:vAlign w:val="center"/>
          </w:tcPr>
          <w:p w14:paraId="7AF94DC5" w14:textId="77777777" w:rsidR="009907B9" w:rsidRPr="009907B9" w:rsidRDefault="009907B9" w:rsidP="004B0514">
            <w:pPr>
              <w:spacing w:before="20" w:after="20"/>
              <w:jc w:val="center"/>
              <w:rPr>
                <w:rFonts w:ascii="Arial" w:hAnsi="Arial" w:cs="Arial"/>
                <w:sz w:val="16"/>
                <w:szCs w:val="16"/>
              </w:rPr>
            </w:pPr>
          </w:p>
        </w:tc>
        <w:tc>
          <w:tcPr>
            <w:tcW w:w="668" w:type="dxa"/>
            <w:vAlign w:val="center"/>
          </w:tcPr>
          <w:p w14:paraId="4929775A" w14:textId="77777777" w:rsidR="009907B9" w:rsidRPr="009907B9" w:rsidRDefault="009907B9" w:rsidP="004B0514">
            <w:pPr>
              <w:spacing w:before="20" w:after="20"/>
              <w:jc w:val="center"/>
              <w:rPr>
                <w:rFonts w:ascii="Arial" w:hAnsi="Arial" w:cs="Arial"/>
                <w:sz w:val="16"/>
                <w:szCs w:val="16"/>
              </w:rPr>
            </w:pPr>
          </w:p>
        </w:tc>
        <w:tc>
          <w:tcPr>
            <w:tcW w:w="668" w:type="dxa"/>
            <w:vAlign w:val="center"/>
          </w:tcPr>
          <w:p w14:paraId="56D48A0A" w14:textId="77777777" w:rsidR="009907B9" w:rsidRPr="009907B9" w:rsidRDefault="009907B9" w:rsidP="004B0514">
            <w:pPr>
              <w:spacing w:before="20" w:after="20"/>
              <w:jc w:val="center"/>
              <w:rPr>
                <w:rFonts w:ascii="Arial" w:hAnsi="Arial" w:cs="Arial"/>
                <w:sz w:val="16"/>
                <w:szCs w:val="16"/>
              </w:rPr>
            </w:pPr>
          </w:p>
        </w:tc>
        <w:tc>
          <w:tcPr>
            <w:tcW w:w="668" w:type="dxa"/>
            <w:vAlign w:val="center"/>
          </w:tcPr>
          <w:p w14:paraId="32C09360" w14:textId="77777777" w:rsidR="009907B9" w:rsidRPr="009907B9" w:rsidRDefault="009907B9" w:rsidP="004B0514">
            <w:pPr>
              <w:spacing w:before="20" w:after="20"/>
              <w:jc w:val="center"/>
              <w:rPr>
                <w:rFonts w:ascii="Arial" w:hAnsi="Arial" w:cs="Arial"/>
                <w:sz w:val="16"/>
                <w:szCs w:val="16"/>
              </w:rPr>
            </w:pPr>
          </w:p>
        </w:tc>
        <w:tc>
          <w:tcPr>
            <w:tcW w:w="668" w:type="dxa"/>
            <w:tcBorders>
              <w:right w:val="nil"/>
            </w:tcBorders>
            <w:vAlign w:val="center"/>
          </w:tcPr>
          <w:p w14:paraId="20E29960" w14:textId="77777777" w:rsidR="009907B9" w:rsidRPr="009907B9" w:rsidRDefault="009907B9" w:rsidP="004B0514">
            <w:pPr>
              <w:spacing w:before="20" w:after="20"/>
              <w:jc w:val="center"/>
              <w:rPr>
                <w:rFonts w:ascii="Arial" w:hAnsi="Arial" w:cs="Arial"/>
                <w:b/>
                <w:bCs/>
                <w:sz w:val="16"/>
                <w:szCs w:val="16"/>
              </w:rPr>
            </w:pPr>
            <w:r w:rsidRPr="009907B9">
              <w:rPr>
                <w:rFonts w:ascii="Arial" w:hAnsi="Arial" w:cs="Arial"/>
                <w:b/>
                <w:bCs/>
                <w:sz w:val="16"/>
                <w:szCs w:val="16"/>
              </w:rPr>
              <w:t>30</w:t>
            </w:r>
          </w:p>
        </w:tc>
      </w:tr>
      <w:tr w:rsidR="009907B9" w14:paraId="07D74A5F" w14:textId="77777777" w:rsidTr="005A6577">
        <w:tc>
          <w:tcPr>
            <w:tcW w:w="667" w:type="dxa"/>
            <w:tcBorders>
              <w:left w:val="nil"/>
            </w:tcBorders>
          </w:tcPr>
          <w:p w14:paraId="41391DA5" w14:textId="77777777" w:rsidR="009907B9" w:rsidRPr="009907B9" w:rsidRDefault="009907B9" w:rsidP="004B0514">
            <w:pPr>
              <w:spacing w:before="20" w:after="20"/>
              <w:rPr>
                <w:rFonts w:ascii="Arial" w:hAnsi="Arial" w:cs="Arial"/>
                <w:b/>
                <w:bCs/>
                <w:sz w:val="16"/>
                <w:szCs w:val="16"/>
              </w:rPr>
            </w:pPr>
            <w:r w:rsidRPr="009907B9">
              <w:rPr>
                <w:rFonts w:ascii="Arial" w:hAnsi="Arial" w:cs="Arial"/>
                <w:b/>
                <w:bCs/>
                <w:sz w:val="16"/>
                <w:szCs w:val="16"/>
              </w:rPr>
              <w:t xml:space="preserve">TOTAL </w:t>
            </w:r>
          </w:p>
        </w:tc>
        <w:tc>
          <w:tcPr>
            <w:tcW w:w="667" w:type="dxa"/>
            <w:vAlign w:val="center"/>
          </w:tcPr>
          <w:p w14:paraId="47332A31" w14:textId="77777777" w:rsidR="009907B9" w:rsidRPr="009907B9" w:rsidRDefault="009907B9" w:rsidP="004B0514">
            <w:pPr>
              <w:spacing w:before="20" w:after="20"/>
              <w:jc w:val="center"/>
              <w:rPr>
                <w:rFonts w:ascii="Arial" w:hAnsi="Arial" w:cs="Arial"/>
                <w:b/>
                <w:bCs/>
                <w:sz w:val="16"/>
                <w:szCs w:val="16"/>
              </w:rPr>
            </w:pPr>
          </w:p>
        </w:tc>
        <w:tc>
          <w:tcPr>
            <w:tcW w:w="668" w:type="dxa"/>
            <w:vAlign w:val="center"/>
          </w:tcPr>
          <w:p w14:paraId="10E67F2F" w14:textId="77777777" w:rsidR="009907B9" w:rsidRPr="009907B9" w:rsidRDefault="009907B9" w:rsidP="004B0514">
            <w:pPr>
              <w:spacing w:before="20" w:after="20"/>
              <w:jc w:val="center"/>
              <w:rPr>
                <w:rFonts w:ascii="Arial" w:hAnsi="Arial" w:cs="Arial"/>
                <w:b/>
                <w:bCs/>
                <w:sz w:val="16"/>
                <w:szCs w:val="16"/>
              </w:rPr>
            </w:pPr>
          </w:p>
        </w:tc>
        <w:tc>
          <w:tcPr>
            <w:tcW w:w="668" w:type="dxa"/>
            <w:vAlign w:val="center"/>
          </w:tcPr>
          <w:p w14:paraId="75A9D855" w14:textId="77777777" w:rsidR="009907B9" w:rsidRPr="009907B9" w:rsidRDefault="009907B9" w:rsidP="004B0514">
            <w:pPr>
              <w:spacing w:before="20" w:after="20"/>
              <w:jc w:val="center"/>
              <w:rPr>
                <w:rFonts w:ascii="Arial" w:hAnsi="Arial" w:cs="Arial"/>
                <w:b/>
                <w:bCs/>
                <w:sz w:val="16"/>
                <w:szCs w:val="16"/>
              </w:rPr>
            </w:pPr>
          </w:p>
        </w:tc>
        <w:tc>
          <w:tcPr>
            <w:tcW w:w="668" w:type="dxa"/>
            <w:vAlign w:val="center"/>
          </w:tcPr>
          <w:p w14:paraId="0FDD1FCE" w14:textId="77777777" w:rsidR="009907B9" w:rsidRPr="009907B9" w:rsidRDefault="009907B9" w:rsidP="004B0514">
            <w:pPr>
              <w:spacing w:before="20" w:after="20"/>
              <w:jc w:val="center"/>
              <w:rPr>
                <w:rFonts w:ascii="Arial" w:hAnsi="Arial" w:cs="Arial"/>
                <w:b/>
                <w:bCs/>
                <w:sz w:val="16"/>
                <w:szCs w:val="16"/>
              </w:rPr>
            </w:pPr>
          </w:p>
        </w:tc>
        <w:tc>
          <w:tcPr>
            <w:tcW w:w="668" w:type="dxa"/>
            <w:vAlign w:val="center"/>
          </w:tcPr>
          <w:p w14:paraId="3119DD1B" w14:textId="77777777" w:rsidR="009907B9" w:rsidRPr="009907B9" w:rsidRDefault="009907B9" w:rsidP="004B0514">
            <w:pPr>
              <w:spacing w:before="20" w:after="20"/>
              <w:jc w:val="center"/>
              <w:rPr>
                <w:rFonts w:ascii="Arial" w:hAnsi="Arial" w:cs="Arial"/>
                <w:b/>
                <w:bCs/>
                <w:sz w:val="16"/>
                <w:szCs w:val="16"/>
              </w:rPr>
            </w:pPr>
          </w:p>
        </w:tc>
        <w:tc>
          <w:tcPr>
            <w:tcW w:w="668" w:type="dxa"/>
            <w:vAlign w:val="center"/>
          </w:tcPr>
          <w:p w14:paraId="48442249" w14:textId="77777777" w:rsidR="009907B9" w:rsidRPr="009907B9" w:rsidRDefault="009907B9" w:rsidP="004B0514">
            <w:pPr>
              <w:spacing w:before="20" w:after="20"/>
              <w:jc w:val="center"/>
              <w:rPr>
                <w:rFonts w:ascii="Arial" w:hAnsi="Arial" w:cs="Arial"/>
                <w:b/>
                <w:bCs/>
                <w:sz w:val="16"/>
                <w:szCs w:val="16"/>
              </w:rPr>
            </w:pPr>
          </w:p>
        </w:tc>
        <w:tc>
          <w:tcPr>
            <w:tcW w:w="668" w:type="dxa"/>
            <w:vAlign w:val="center"/>
          </w:tcPr>
          <w:p w14:paraId="78E41D50" w14:textId="77777777" w:rsidR="009907B9" w:rsidRPr="009907B9" w:rsidRDefault="009907B9" w:rsidP="004B0514">
            <w:pPr>
              <w:spacing w:before="20" w:after="20"/>
              <w:jc w:val="center"/>
              <w:rPr>
                <w:rFonts w:ascii="Arial" w:hAnsi="Arial" w:cs="Arial"/>
                <w:b/>
                <w:bCs/>
                <w:sz w:val="16"/>
                <w:szCs w:val="16"/>
              </w:rPr>
            </w:pPr>
          </w:p>
        </w:tc>
        <w:tc>
          <w:tcPr>
            <w:tcW w:w="668" w:type="dxa"/>
            <w:vAlign w:val="center"/>
          </w:tcPr>
          <w:p w14:paraId="62457B40" w14:textId="77777777" w:rsidR="009907B9" w:rsidRPr="009907B9" w:rsidRDefault="009907B9" w:rsidP="004B0514">
            <w:pPr>
              <w:spacing w:before="20" w:after="20"/>
              <w:jc w:val="center"/>
              <w:rPr>
                <w:rFonts w:ascii="Arial" w:hAnsi="Arial" w:cs="Arial"/>
                <w:b/>
                <w:bCs/>
                <w:sz w:val="16"/>
                <w:szCs w:val="16"/>
              </w:rPr>
            </w:pPr>
          </w:p>
        </w:tc>
        <w:tc>
          <w:tcPr>
            <w:tcW w:w="668" w:type="dxa"/>
            <w:vAlign w:val="center"/>
          </w:tcPr>
          <w:p w14:paraId="1E962363" w14:textId="77777777" w:rsidR="009907B9" w:rsidRPr="009907B9" w:rsidRDefault="009907B9" w:rsidP="004B0514">
            <w:pPr>
              <w:spacing w:before="20" w:after="20"/>
              <w:jc w:val="center"/>
              <w:rPr>
                <w:rFonts w:ascii="Arial" w:hAnsi="Arial" w:cs="Arial"/>
                <w:b/>
                <w:bCs/>
                <w:sz w:val="16"/>
                <w:szCs w:val="16"/>
              </w:rPr>
            </w:pPr>
          </w:p>
        </w:tc>
        <w:tc>
          <w:tcPr>
            <w:tcW w:w="668" w:type="dxa"/>
            <w:vAlign w:val="center"/>
          </w:tcPr>
          <w:p w14:paraId="00D85E57" w14:textId="77777777" w:rsidR="009907B9" w:rsidRPr="009907B9" w:rsidRDefault="009907B9" w:rsidP="004B0514">
            <w:pPr>
              <w:spacing w:before="20" w:after="20"/>
              <w:jc w:val="center"/>
              <w:rPr>
                <w:rFonts w:ascii="Arial" w:hAnsi="Arial" w:cs="Arial"/>
                <w:b/>
                <w:bCs/>
                <w:sz w:val="16"/>
                <w:szCs w:val="16"/>
              </w:rPr>
            </w:pPr>
          </w:p>
        </w:tc>
        <w:tc>
          <w:tcPr>
            <w:tcW w:w="668" w:type="dxa"/>
            <w:vAlign w:val="center"/>
          </w:tcPr>
          <w:p w14:paraId="07A7ED20" w14:textId="77777777" w:rsidR="009907B9" w:rsidRPr="009907B9" w:rsidRDefault="009907B9" w:rsidP="004B0514">
            <w:pPr>
              <w:spacing w:before="20" w:after="20"/>
              <w:jc w:val="center"/>
              <w:rPr>
                <w:rFonts w:ascii="Arial" w:hAnsi="Arial" w:cs="Arial"/>
                <w:b/>
                <w:bCs/>
                <w:sz w:val="16"/>
                <w:szCs w:val="16"/>
              </w:rPr>
            </w:pPr>
          </w:p>
        </w:tc>
        <w:tc>
          <w:tcPr>
            <w:tcW w:w="668" w:type="dxa"/>
            <w:vAlign w:val="center"/>
          </w:tcPr>
          <w:p w14:paraId="50409CF9" w14:textId="77777777" w:rsidR="009907B9" w:rsidRPr="009907B9" w:rsidRDefault="009907B9" w:rsidP="004B0514">
            <w:pPr>
              <w:spacing w:before="20" w:after="20"/>
              <w:jc w:val="center"/>
              <w:rPr>
                <w:rFonts w:ascii="Arial" w:hAnsi="Arial" w:cs="Arial"/>
                <w:b/>
                <w:bCs/>
                <w:sz w:val="16"/>
                <w:szCs w:val="16"/>
              </w:rPr>
            </w:pPr>
          </w:p>
        </w:tc>
        <w:tc>
          <w:tcPr>
            <w:tcW w:w="668" w:type="dxa"/>
            <w:tcBorders>
              <w:right w:val="nil"/>
            </w:tcBorders>
            <w:vAlign w:val="center"/>
          </w:tcPr>
          <w:p w14:paraId="59D2D236" w14:textId="77777777" w:rsidR="009907B9" w:rsidRPr="009907B9" w:rsidRDefault="009907B9" w:rsidP="004B0514">
            <w:pPr>
              <w:spacing w:before="20" w:after="20"/>
              <w:jc w:val="center"/>
              <w:rPr>
                <w:rFonts w:ascii="Arial" w:hAnsi="Arial" w:cs="Arial"/>
                <w:b/>
                <w:bCs/>
                <w:sz w:val="16"/>
                <w:szCs w:val="16"/>
              </w:rPr>
            </w:pPr>
            <w:r w:rsidRPr="009907B9">
              <w:rPr>
                <w:rFonts w:ascii="Arial" w:hAnsi="Arial" w:cs="Arial"/>
                <w:b/>
                <w:bCs/>
                <w:sz w:val="16"/>
                <w:szCs w:val="16"/>
              </w:rPr>
              <w:t>1364</w:t>
            </w:r>
          </w:p>
        </w:tc>
      </w:tr>
    </w:tbl>
    <w:p w14:paraId="7E4F7312" w14:textId="77777777" w:rsidR="00EB4525" w:rsidRDefault="00EB4525" w:rsidP="00C72B44">
      <w:pPr>
        <w:spacing w:line="264" w:lineRule="auto"/>
        <w:jc w:val="both"/>
        <w:rPr>
          <w:rFonts w:ascii="Arial" w:hAnsi="Arial" w:cs="Arial"/>
          <w:szCs w:val="24"/>
        </w:rPr>
      </w:pPr>
    </w:p>
    <w:p w14:paraId="23039932" w14:textId="160F6442" w:rsidR="00BC0435" w:rsidRDefault="00BC0435" w:rsidP="0000762D">
      <w:pPr>
        <w:pStyle w:val="ListParagraph"/>
        <w:numPr>
          <w:ilvl w:val="0"/>
          <w:numId w:val="13"/>
        </w:numPr>
        <w:spacing w:line="264" w:lineRule="auto"/>
        <w:jc w:val="both"/>
        <w:rPr>
          <w:rFonts w:ascii="Arial" w:hAnsi="Arial" w:cs="Arial"/>
          <w:szCs w:val="24"/>
        </w:rPr>
      </w:pPr>
      <w:r w:rsidRPr="006B16C7">
        <w:rPr>
          <w:rFonts w:ascii="Arial" w:hAnsi="Arial" w:cs="Arial"/>
          <w:b/>
          <w:bCs/>
          <w:szCs w:val="24"/>
        </w:rPr>
        <w:t>Base conversion</w:t>
      </w:r>
      <w:r w:rsidR="0000762D" w:rsidRPr="006B16C7">
        <w:rPr>
          <w:rFonts w:ascii="Arial" w:hAnsi="Arial" w:cs="Arial"/>
          <w:b/>
          <w:bCs/>
          <w:szCs w:val="24"/>
        </w:rPr>
        <w:t xml:space="preserve"> plan.</w:t>
      </w:r>
      <w:r w:rsidR="0000762D">
        <w:rPr>
          <w:rFonts w:ascii="Arial" w:hAnsi="Arial" w:cs="Arial"/>
          <w:szCs w:val="24"/>
        </w:rPr>
        <w:t xml:space="preserve"> To accommodate the zero-emission fleet, Metro </w:t>
      </w:r>
      <w:r w:rsidR="0009041E">
        <w:rPr>
          <w:rFonts w:ascii="Arial" w:hAnsi="Arial" w:cs="Arial"/>
          <w:szCs w:val="24"/>
        </w:rPr>
        <w:t>must</w:t>
      </w:r>
      <w:r w:rsidR="0000762D">
        <w:rPr>
          <w:rFonts w:ascii="Arial" w:hAnsi="Arial" w:cs="Arial"/>
          <w:szCs w:val="24"/>
        </w:rPr>
        <w:t xml:space="preserve"> convert its bases</w:t>
      </w:r>
      <w:r w:rsidR="00813CC0">
        <w:rPr>
          <w:rFonts w:ascii="Arial" w:hAnsi="Arial" w:cs="Arial"/>
          <w:szCs w:val="24"/>
        </w:rPr>
        <w:t xml:space="preserve"> to add charging infrastructure. </w:t>
      </w:r>
      <w:r w:rsidR="003A0CE8">
        <w:rPr>
          <w:rFonts w:ascii="Arial" w:hAnsi="Arial" w:cs="Arial"/>
          <w:szCs w:val="24"/>
        </w:rPr>
        <w:t xml:space="preserve">Metro’s </w:t>
      </w:r>
      <w:r w:rsidR="00813CC0">
        <w:rPr>
          <w:rFonts w:ascii="Arial" w:hAnsi="Arial" w:cs="Arial"/>
          <w:szCs w:val="24"/>
        </w:rPr>
        <w:t xml:space="preserve">current plan is </w:t>
      </w:r>
      <w:r w:rsidR="003A0CE8">
        <w:rPr>
          <w:rFonts w:ascii="Arial" w:hAnsi="Arial" w:cs="Arial"/>
          <w:szCs w:val="24"/>
        </w:rPr>
        <w:t>to</w:t>
      </w:r>
      <w:r w:rsidR="00813CC0">
        <w:rPr>
          <w:rFonts w:ascii="Arial" w:hAnsi="Arial" w:cs="Arial"/>
          <w:szCs w:val="24"/>
        </w:rPr>
        <w:t xml:space="preserve"> convert </w:t>
      </w:r>
      <w:r w:rsidR="0009041E">
        <w:rPr>
          <w:rFonts w:ascii="Arial" w:hAnsi="Arial" w:cs="Arial"/>
          <w:szCs w:val="24"/>
        </w:rPr>
        <w:t>the</w:t>
      </w:r>
      <w:r w:rsidR="00813CC0">
        <w:rPr>
          <w:rFonts w:ascii="Arial" w:hAnsi="Arial" w:cs="Arial"/>
          <w:szCs w:val="24"/>
        </w:rPr>
        <w:t xml:space="preserve"> bases sequentially, with each base expected to require 18 to 24 months for conversion</w:t>
      </w:r>
      <w:r w:rsidR="00B11921">
        <w:rPr>
          <w:rFonts w:ascii="Arial" w:hAnsi="Arial" w:cs="Arial"/>
          <w:szCs w:val="24"/>
        </w:rPr>
        <w:t xml:space="preserve">, and with a permanent reduction in capacity of 10 to 15 percent due to the installation of charging infrastructure within the yard. The current draft timeline for </w:t>
      </w:r>
      <w:r w:rsidR="003A0CE8">
        <w:rPr>
          <w:rFonts w:ascii="Arial" w:hAnsi="Arial" w:cs="Arial"/>
          <w:szCs w:val="24"/>
        </w:rPr>
        <w:t xml:space="preserve">electric </w:t>
      </w:r>
      <w:r w:rsidR="00B11921">
        <w:rPr>
          <w:rFonts w:ascii="Arial" w:hAnsi="Arial" w:cs="Arial"/>
          <w:szCs w:val="24"/>
        </w:rPr>
        <w:t xml:space="preserve">base </w:t>
      </w:r>
      <w:r w:rsidR="00524994">
        <w:rPr>
          <w:rFonts w:ascii="Arial" w:hAnsi="Arial" w:cs="Arial"/>
          <w:szCs w:val="24"/>
        </w:rPr>
        <w:t>reopening</w:t>
      </w:r>
      <w:r w:rsidR="00B11921">
        <w:rPr>
          <w:rFonts w:ascii="Arial" w:hAnsi="Arial" w:cs="Arial"/>
          <w:szCs w:val="24"/>
        </w:rPr>
        <w:t xml:space="preserve"> is:</w:t>
      </w:r>
    </w:p>
    <w:p w14:paraId="57EC6554" w14:textId="397FC1EC" w:rsidR="00B11921" w:rsidRDefault="00524994" w:rsidP="00B11921">
      <w:pPr>
        <w:pStyle w:val="ListParagraph"/>
        <w:numPr>
          <w:ilvl w:val="1"/>
          <w:numId w:val="13"/>
        </w:numPr>
        <w:spacing w:line="264" w:lineRule="auto"/>
        <w:jc w:val="both"/>
        <w:rPr>
          <w:rFonts w:ascii="Arial" w:hAnsi="Arial" w:cs="Arial"/>
          <w:szCs w:val="24"/>
        </w:rPr>
      </w:pPr>
      <w:r>
        <w:rPr>
          <w:rFonts w:ascii="Arial" w:hAnsi="Arial" w:cs="Arial"/>
          <w:szCs w:val="24"/>
        </w:rPr>
        <w:t>2025: Interim Base</w:t>
      </w:r>
    </w:p>
    <w:p w14:paraId="753F4822" w14:textId="2BB5727C" w:rsidR="00524994" w:rsidRDefault="00524994" w:rsidP="00B11921">
      <w:pPr>
        <w:pStyle w:val="ListParagraph"/>
        <w:numPr>
          <w:ilvl w:val="1"/>
          <w:numId w:val="13"/>
        </w:numPr>
        <w:spacing w:line="264" w:lineRule="auto"/>
        <w:jc w:val="both"/>
        <w:rPr>
          <w:rFonts w:ascii="Arial" w:hAnsi="Arial" w:cs="Arial"/>
          <w:szCs w:val="24"/>
        </w:rPr>
      </w:pPr>
      <w:r>
        <w:rPr>
          <w:rFonts w:ascii="Arial" w:hAnsi="Arial" w:cs="Arial"/>
          <w:szCs w:val="24"/>
        </w:rPr>
        <w:t>202</w:t>
      </w:r>
      <w:r w:rsidR="00AB31CF">
        <w:rPr>
          <w:rFonts w:ascii="Arial" w:hAnsi="Arial" w:cs="Arial"/>
          <w:szCs w:val="24"/>
        </w:rPr>
        <w:t>8</w:t>
      </w:r>
      <w:r>
        <w:rPr>
          <w:rFonts w:ascii="Arial" w:hAnsi="Arial" w:cs="Arial"/>
          <w:szCs w:val="24"/>
        </w:rPr>
        <w:t>: South Annex Base</w:t>
      </w:r>
    </w:p>
    <w:p w14:paraId="0287AE40" w14:textId="3ABA98BB" w:rsidR="00524994" w:rsidRDefault="00524994" w:rsidP="00B11921">
      <w:pPr>
        <w:pStyle w:val="ListParagraph"/>
        <w:numPr>
          <w:ilvl w:val="1"/>
          <w:numId w:val="13"/>
        </w:numPr>
        <w:spacing w:line="264" w:lineRule="auto"/>
        <w:jc w:val="both"/>
        <w:rPr>
          <w:rFonts w:ascii="Arial" w:hAnsi="Arial" w:cs="Arial"/>
          <w:szCs w:val="24"/>
        </w:rPr>
      </w:pPr>
      <w:r>
        <w:rPr>
          <w:rFonts w:ascii="Arial" w:hAnsi="Arial" w:cs="Arial"/>
          <w:szCs w:val="24"/>
        </w:rPr>
        <w:t>2028: Central Base</w:t>
      </w:r>
    </w:p>
    <w:p w14:paraId="23821873" w14:textId="1887325D" w:rsidR="00524994" w:rsidRDefault="00524994" w:rsidP="00B11921">
      <w:pPr>
        <w:pStyle w:val="ListParagraph"/>
        <w:numPr>
          <w:ilvl w:val="1"/>
          <w:numId w:val="13"/>
        </w:numPr>
        <w:spacing w:line="264" w:lineRule="auto"/>
        <w:jc w:val="both"/>
        <w:rPr>
          <w:rFonts w:ascii="Arial" w:hAnsi="Arial" w:cs="Arial"/>
          <w:szCs w:val="24"/>
        </w:rPr>
      </w:pPr>
      <w:r>
        <w:rPr>
          <w:rFonts w:ascii="Arial" w:hAnsi="Arial" w:cs="Arial"/>
          <w:szCs w:val="24"/>
        </w:rPr>
        <w:t>2030: East Base</w:t>
      </w:r>
    </w:p>
    <w:p w14:paraId="15A3D761" w14:textId="087969B9" w:rsidR="00524994" w:rsidRDefault="00524994" w:rsidP="00B11921">
      <w:pPr>
        <w:pStyle w:val="ListParagraph"/>
        <w:numPr>
          <w:ilvl w:val="1"/>
          <w:numId w:val="13"/>
        </w:numPr>
        <w:spacing w:line="264" w:lineRule="auto"/>
        <w:jc w:val="both"/>
        <w:rPr>
          <w:rFonts w:ascii="Arial" w:hAnsi="Arial" w:cs="Arial"/>
          <w:szCs w:val="24"/>
        </w:rPr>
      </w:pPr>
      <w:r>
        <w:rPr>
          <w:rFonts w:ascii="Arial" w:hAnsi="Arial" w:cs="Arial"/>
          <w:szCs w:val="24"/>
        </w:rPr>
        <w:t>2030: Atlantic Base</w:t>
      </w:r>
    </w:p>
    <w:p w14:paraId="34D98B2A" w14:textId="4BB01363" w:rsidR="00524994" w:rsidRDefault="00524994" w:rsidP="00B11921">
      <w:pPr>
        <w:pStyle w:val="ListParagraph"/>
        <w:numPr>
          <w:ilvl w:val="1"/>
          <w:numId w:val="13"/>
        </w:numPr>
        <w:spacing w:line="264" w:lineRule="auto"/>
        <w:jc w:val="both"/>
        <w:rPr>
          <w:rFonts w:ascii="Arial" w:hAnsi="Arial" w:cs="Arial"/>
          <w:szCs w:val="24"/>
        </w:rPr>
      </w:pPr>
      <w:r>
        <w:rPr>
          <w:rFonts w:ascii="Arial" w:hAnsi="Arial" w:cs="Arial"/>
          <w:szCs w:val="24"/>
        </w:rPr>
        <w:t>2032: South Base</w:t>
      </w:r>
    </w:p>
    <w:p w14:paraId="3CE49A67" w14:textId="0AF7A195" w:rsidR="00524994" w:rsidRDefault="00524994" w:rsidP="00B11921">
      <w:pPr>
        <w:pStyle w:val="ListParagraph"/>
        <w:numPr>
          <w:ilvl w:val="1"/>
          <w:numId w:val="13"/>
        </w:numPr>
        <w:spacing w:line="264" w:lineRule="auto"/>
        <w:jc w:val="both"/>
        <w:rPr>
          <w:rFonts w:ascii="Arial" w:hAnsi="Arial" w:cs="Arial"/>
          <w:szCs w:val="24"/>
        </w:rPr>
      </w:pPr>
      <w:r>
        <w:rPr>
          <w:rFonts w:ascii="Arial" w:hAnsi="Arial" w:cs="Arial"/>
          <w:szCs w:val="24"/>
        </w:rPr>
        <w:t>2034: Ryerson Base</w:t>
      </w:r>
    </w:p>
    <w:p w14:paraId="58FE75D8" w14:textId="55427301" w:rsidR="00524994" w:rsidRDefault="00524994" w:rsidP="00B11921">
      <w:pPr>
        <w:pStyle w:val="ListParagraph"/>
        <w:numPr>
          <w:ilvl w:val="1"/>
          <w:numId w:val="13"/>
        </w:numPr>
        <w:spacing w:line="264" w:lineRule="auto"/>
        <w:jc w:val="both"/>
        <w:rPr>
          <w:rFonts w:ascii="Arial" w:hAnsi="Arial" w:cs="Arial"/>
          <w:szCs w:val="24"/>
        </w:rPr>
      </w:pPr>
      <w:r>
        <w:rPr>
          <w:rFonts w:ascii="Arial" w:hAnsi="Arial" w:cs="Arial"/>
          <w:szCs w:val="24"/>
        </w:rPr>
        <w:t>203</w:t>
      </w:r>
      <w:r w:rsidR="00AB31CF">
        <w:rPr>
          <w:rFonts w:ascii="Arial" w:hAnsi="Arial" w:cs="Arial"/>
          <w:szCs w:val="24"/>
        </w:rPr>
        <w:t>5</w:t>
      </w:r>
      <w:r>
        <w:rPr>
          <w:rFonts w:ascii="Arial" w:hAnsi="Arial" w:cs="Arial"/>
          <w:szCs w:val="24"/>
        </w:rPr>
        <w:t>: North Base</w:t>
      </w:r>
    </w:p>
    <w:p w14:paraId="7F762600" w14:textId="29361D77" w:rsidR="00524994" w:rsidRPr="0000762D" w:rsidRDefault="00524994" w:rsidP="00B11921">
      <w:pPr>
        <w:pStyle w:val="ListParagraph"/>
        <w:numPr>
          <w:ilvl w:val="1"/>
          <w:numId w:val="13"/>
        </w:numPr>
        <w:spacing w:line="264" w:lineRule="auto"/>
        <w:jc w:val="both"/>
        <w:rPr>
          <w:rFonts w:ascii="Arial" w:hAnsi="Arial" w:cs="Arial"/>
          <w:szCs w:val="24"/>
        </w:rPr>
      </w:pPr>
      <w:r>
        <w:rPr>
          <w:rFonts w:ascii="Arial" w:hAnsi="Arial" w:cs="Arial"/>
          <w:szCs w:val="24"/>
        </w:rPr>
        <w:t>203</w:t>
      </w:r>
      <w:r w:rsidR="00E920CE">
        <w:rPr>
          <w:rFonts w:ascii="Arial" w:hAnsi="Arial" w:cs="Arial"/>
          <w:szCs w:val="24"/>
        </w:rPr>
        <w:t>5</w:t>
      </w:r>
      <w:r>
        <w:rPr>
          <w:rFonts w:ascii="Arial" w:hAnsi="Arial" w:cs="Arial"/>
          <w:szCs w:val="24"/>
        </w:rPr>
        <w:t>: Bellevue Base</w:t>
      </w:r>
    </w:p>
    <w:p w14:paraId="6540C364" w14:textId="77777777" w:rsidR="00EB4525" w:rsidRDefault="00EB4525" w:rsidP="00C72B44">
      <w:pPr>
        <w:spacing w:line="264" w:lineRule="auto"/>
        <w:jc w:val="both"/>
        <w:rPr>
          <w:rFonts w:ascii="Arial" w:hAnsi="Arial" w:cs="Arial"/>
          <w:szCs w:val="24"/>
        </w:rPr>
      </w:pPr>
    </w:p>
    <w:p w14:paraId="3DD71404" w14:textId="7AD75D79" w:rsidR="00BC0435" w:rsidRPr="006B16C7" w:rsidRDefault="00BC0435" w:rsidP="006B16C7">
      <w:pPr>
        <w:pStyle w:val="ListParagraph"/>
        <w:numPr>
          <w:ilvl w:val="0"/>
          <w:numId w:val="13"/>
        </w:numPr>
        <w:spacing w:line="264" w:lineRule="auto"/>
        <w:jc w:val="both"/>
        <w:rPr>
          <w:rFonts w:ascii="Arial" w:hAnsi="Arial" w:cs="Arial"/>
          <w:szCs w:val="24"/>
        </w:rPr>
      </w:pPr>
      <w:r w:rsidRPr="00581B4E">
        <w:rPr>
          <w:rFonts w:ascii="Arial" w:hAnsi="Arial" w:cs="Arial"/>
          <w:b/>
          <w:bCs/>
          <w:szCs w:val="24"/>
        </w:rPr>
        <w:t>Layover charging</w:t>
      </w:r>
      <w:r w:rsidR="006B16C7" w:rsidRPr="00581B4E">
        <w:rPr>
          <w:rFonts w:ascii="Arial" w:hAnsi="Arial" w:cs="Arial"/>
          <w:b/>
          <w:bCs/>
          <w:szCs w:val="24"/>
        </w:rPr>
        <w:t>.</w:t>
      </w:r>
      <w:r w:rsidR="006B16C7">
        <w:rPr>
          <w:rFonts w:ascii="Arial" w:hAnsi="Arial" w:cs="Arial"/>
          <w:szCs w:val="24"/>
        </w:rPr>
        <w:t xml:space="preserve"> Metro’s current plan calls for a mix of on-base and on-route charging. Metro is currently pursuing five initial layover sites in South King County to support electrification of the fleet operating out of the Interim and South Annex Bases</w:t>
      </w:r>
      <w:r w:rsidR="00581B4E">
        <w:rPr>
          <w:rFonts w:ascii="Arial" w:hAnsi="Arial" w:cs="Arial"/>
          <w:szCs w:val="24"/>
        </w:rPr>
        <w:t>. Next, Metro will seek candidate locations for layover charging across the system, a process that will require significant electrical infrastructure in multiple jurisdictions.</w:t>
      </w:r>
    </w:p>
    <w:p w14:paraId="63C9B086" w14:textId="7B43FFC8" w:rsidR="00EB4525" w:rsidRDefault="00EB4525" w:rsidP="00C72B44">
      <w:pPr>
        <w:spacing w:line="264" w:lineRule="auto"/>
        <w:jc w:val="both"/>
        <w:rPr>
          <w:rFonts w:ascii="Arial" w:hAnsi="Arial" w:cs="Arial"/>
          <w:szCs w:val="24"/>
        </w:rPr>
      </w:pPr>
    </w:p>
    <w:p w14:paraId="7AB8A479" w14:textId="192642BD" w:rsidR="008D3F3F" w:rsidRDefault="008D3F3F" w:rsidP="00C72B44">
      <w:pPr>
        <w:spacing w:line="264" w:lineRule="auto"/>
        <w:jc w:val="both"/>
        <w:rPr>
          <w:rFonts w:ascii="Arial" w:hAnsi="Arial" w:cs="Arial"/>
          <w:szCs w:val="24"/>
        </w:rPr>
      </w:pPr>
      <w:r>
        <w:rPr>
          <w:rFonts w:ascii="Arial" w:hAnsi="Arial" w:cs="Arial"/>
          <w:szCs w:val="24"/>
        </w:rPr>
        <w:lastRenderedPageBreak/>
        <w:t>In addition to these capital investments, the proposed budget includes $1.3 million</w:t>
      </w:r>
      <w:r w:rsidR="009B6D7A">
        <w:rPr>
          <w:rFonts w:ascii="Arial" w:hAnsi="Arial" w:cs="Arial"/>
          <w:szCs w:val="24"/>
        </w:rPr>
        <w:t xml:space="preserve"> and 12.0 FTE</w:t>
      </w:r>
      <w:r>
        <w:rPr>
          <w:rFonts w:ascii="Arial" w:hAnsi="Arial" w:cs="Arial"/>
          <w:szCs w:val="24"/>
        </w:rPr>
        <w:t xml:space="preserve"> in the operating budget</w:t>
      </w:r>
      <w:r w:rsidR="002F398F">
        <w:rPr>
          <w:rFonts w:ascii="Arial" w:hAnsi="Arial" w:cs="Arial"/>
          <w:szCs w:val="24"/>
        </w:rPr>
        <w:t xml:space="preserve"> </w:t>
      </w:r>
      <w:r w:rsidR="000C6542">
        <w:rPr>
          <w:rFonts w:ascii="Arial" w:hAnsi="Arial" w:cs="Arial"/>
          <w:szCs w:val="24"/>
        </w:rPr>
        <w:t xml:space="preserve">to support the conversion </w:t>
      </w:r>
      <w:r w:rsidR="009B6D7A">
        <w:rPr>
          <w:rFonts w:ascii="Arial" w:hAnsi="Arial" w:cs="Arial"/>
          <w:szCs w:val="24"/>
        </w:rPr>
        <w:t xml:space="preserve">to zero-emission operations </w:t>
      </w:r>
      <w:r w:rsidR="000C6542">
        <w:rPr>
          <w:rFonts w:ascii="Arial" w:hAnsi="Arial" w:cs="Arial"/>
          <w:szCs w:val="24"/>
        </w:rPr>
        <w:t>in Metro’s operating divisions.</w:t>
      </w:r>
    </w:p>
    <w:p w14:paraId="1AA3A9DA" w14:textId="77777777" w:rsidR="008D3F3F" w:rsidRDefault="008D3F3F" w:rsidP="00C72B44">
      <w:pPr>
        <w:spacing w:line="264" w:lineRule="auto"/>
        <w:jc w:val="both"/>
        <w:rPr>
          <w:rFonts w:ascii="Arial" w:hAnsi="Arial" w:cs="Arial"/>
          <w:szCs w:val="24"/>
        </w:rPr>
      </w:pPr>
    </w:p>
    <w:p w14:paraId="6E9C6575" w14:textId="44AD4D9B" w:rsidR="00816022" w:rsidRDefault="007A4537" w:rsidP="00C72B44">
      <w:pPr>
        <w:spacing w:line="264" w:lineRule="auto"/>
        <w:jc w:val="both"/>
        <w:rPr>
          <w:rFonts w:ascii="Arial" w:hAnsi="Arial" w:cs="Arial"/>
        </w:rPr>
      </w:pPr>
      <w:r w:rsidRPr="000C6542">
        <w:rPr>
          <w:rFonts w:ascii="Arial" w:hAnsi="Arial" w:cs="Arial"/>
          <w:b/>
          <w:bCs/>
          <w:szCs w:val="24"/>
        </w:rPr>
        <w:t>RapidRide</w:t>
      </w:r>
      <w:r w:rsidR="000C6542" w:rsidRPr="000C6542">
        <w:rPr>
          <w:rFonts w:ascii="Arial" w:hAnsi="Arial" w:cs="Arial"/>
          <w:b/>
          <w:bCs/>
          <w:szCs w:val="24"/>
        </w:rPr>
        <w:t>.</w:t>
      </w:r>
      <w:r w:rsidR="000C6542">
        <w:rPr>
          <w:rFonts w:ascii="Arial" w:hAnsi="Arial" w:cs="Arial"/>
          <w:b/>
          <w:bCs/>
          <w:szCs w:val="24"/>
        </w:rPr>
        <w:t xml:space="preserve"> </w:t>
      </w:r>
      <w:r w:rsidR="00EC7BA1">
        <w:rPr>
          <w:rFonts w:ascii="Arial" w:hAnsi="Arial" w:cs="Arial"/>
        </w:rPr>
        <w:t>Metro</w:t>
      </w:r>
      <w:r w:rsidR="000C6542">
        <w:rPr>
          <w:rFonts w:ascii="Arial" w:hAnsi="Arial" w:cs="Arial"/>
        </w:rPr>
        <w:t xml:space="preserve"> currently operates six RapidRide lines (A-F) and is </w:t>
      </w:r>
      <w:r w:rsidR="008A4871">
        <w:rPr>
          <w:rFonts w:ascii="Arial" w:hAnsi="Arial" w:cs="Arial"/>
        </w:rPr>
        <w:t>working to develop</w:t>
      </w:r>
      <w:r w:rsidR="000C6542">
        <w:rPr>
          <w:rFonts w:ascii="Arial" w:hAnsi="Arial" w:cs="Arial"/>
        </w:rPr>
        <w:t xml:space="preserve"> four additional lines </w:t>
      </w:r>
      <w:r w:rsidR="00EC7BA1">
        <w:rPr>
          <w:rFonts w:ascii="Arial" w:hAnsi="Arial" w:cs="Arial"/>
        </w:rPr>
        <w:t>(G-J)</w:t>
      </w:r>
      <w:r w:rsidR="000C40C1">
        <w:rPr>
          <w:rFonts w:ascii="Arial" w:hAnsi="Arial" w:cs="Arial"/>
        </w:rPr>
        <w:t xml:space="preserve">, which are planned </w:t>
      </w:r>
      <w:r w:rsidR="008A4871">
        <w:rPr>
          <w:rFonts w:ascii="Arial" w:hAnsi="Arial" w:cs="Arial"/>
        </w:rPr>
        <w:t>to start service</w:t>
      </w:r>
      <w:r w:rsidR="000C40C1">
        <w:rPr>
          <w:rFonts w:ascii="Arial" w:hAnsi="Arial" w:cs="Arial"/>
        </w:rPr>
        <w:t xml:space="preserve"> between 2023 and 202</w:t>
      </w:r>
      <w:r w:rsidR="00746860">
        <w:rPr>
          <w:rFonts w:ascii="Arial" w:hAnsi="Arial" w:cs="Arial"/>
        </w:rPr>
        <w:t>6</w:t>
      </w:r>
      <w:r w:rsidR="00EC7BA1">
        <w:rPr>
          <w:rFonts w:ascii="Arial" w:hAnsi="Arial" w:cs="Arial"/>
        </w:rPr>
        <w:t xml:space="preserve">. Metro also began planning </w:t>
      </w:r>
      <w:r w:rsidR="00B747A7">
        <w:rPr>
          <w:rFonts w:ascii="Arial" w:hAnsi="Arial" w:cs="Arial"/>
        </w:rPr>
        <w:t xml:space="preserve">and design </w:t>
      </w:r>
      <w:r w:rsidR="00EC7BA1">
        <w:rPr>
          <w:rFonts w:ascii="Arial" w:hAnsi="Arial" w:cs="Arial"/>
        </w:rPr>
        <w:t>for two more lines (K, R), though work was paused during the pandemic</w:t>
      </w:r>
      <w:r w:rsidR="00956E2F">
        <w:rPr>
          <w:rFonts w:ascii="Arial" w:hAnsi="Arial" w:cs="Arial"/>
        </w:rPr>
        <w:t>.</w:t>
      </w:r>
      <w:r w:rsidR="00CA5E1D">
        <w:rPr>
          <w:rStyle w:val="FootnoteReference"/>
          <w:rFonts w:ascii="Arial" w:hAnsi="Arial" w:cs="Arial"/>
        </w:rPr>
        <w:footnoteReference w:id="31"/>
      </w:r>
      <w:r w:rsidR="00204A27">
        <w:rPr>
          <w:rFonts w:ascii="Arial" w:hAnsi="Arial" w:cs="Arial"/>
        </w:rPr>
        <w:t xml:space="preserve"> </w:t>
      </w:r>
      <w:r w:rsidR="002F5D92">
        <w:rPr>
          <w:rFonts w:ascii="Arial" w:hAnsi="Arial" w:cs="Arial"/>
        </w:rPr>
        <w:t>One additional line</w:t>
      </w:r>
      <w:r w:rsidR="007C0822">
        <w:rPr>
          <w:rFonts w:ascii="Arial" w:hAnsi="Arial" w:cs="Arial"/>
        </w:rPr>
        <w:t xml:space="preserve">, L, </w:t>
      </w:r>
      <w:r w:rsidR="009268BC">
        <w:rPr>
          <w:rFonts w:ascii="Arial" w:hAnsi="Arial" w:cs="Arial"/>
        </w:rPr>
        <w:t>with location to be determined, is identified in the 2023-2024 capital improvement plan as beginning planning work in the 2027-2028 biennium</w:t>
      </w:r>
      <w:r w:rsidR="001C66A8">
        <w:rPr>
          <w:rFonts w:ascii="Arial" w:hAnsi="Arial" w:cs="Arial"/>
        </w:rPr>
        <w:t xml:space="preserve"> (though no appropriation is proposed in 2023-2024)</w:t>
      </w:r>
      <w:r w:rsidR="009268BC">
        <w:rPr>
          <w:rFonts w:ascii="Arial" w:hAnsi="Arial" w:cs="Arial"/>
        </w:rPr>
        <w:t>.</w:t>
      </w:r>
      <w:r w:rsidR="002F5D92">
        <w:rPr>
          <w:rStyle w:val="FootnoteReference"/>
          <w:rFonts w:ascii="Arial" w:hAnsi="Arial" w:cs="Arial"/>
        </w:rPr>
        <w:footnoteReference w:id="32"/>
      </w:r>
    </w:p>
    <w:p w14:paraId="2544E3AD" w14:textId="77777777" w:rsidR="00816022" w:rsidRDefault="00816022" w:rsidP="00C72B44">
      <w:pPr>
        <w:spacing w:line="264" w:lineRule="auto"/>
        <w:jc w:val="both"/>
        <w:rPr>
          <w:rFonts w:ascii="Arial" w:hAnsi="Arial" w:cs="Arial"/>
        </w:rPr>
      </w:pPr>
    </w:p>
    <w:p w14:paraId="3C2DB6BB" w14:textId="728CC5E9" w:rsidR="00C72B44" w:rsidRPr="0033291D" w:rsidRDefault="00816022" w:rsidP="00C72B44">
      <w:pPr>
        <w:spacing w:line="264" w:lineRule="auto"/>
        <w:jc w:val="both"/>
        <w:rPr>
          <w:rFonts w:ascii="Arial" w:hAnsi="Arial" w:cs="Arial"/>
          <w:szCs w:val="24"/>
        </w:rPr>
      </w:pPr>
      <w:r>
        <w:rPr>
          <w:rFonts w:ascii="Arial" w:hAnsi="Arial" w:cs="Arial"/>
        </w:rPr>
        <w:t xml:space="preserve">The </w:t>
      </w:r>
      <w:r w:rsidRPr="0033291D">
        <w:rPr>
          <w:rFonts w:ascii="Arial" w:hAnsi="Arial" w:cs="Arial"/>
        </w:rPr>
        <w:t xml:space="preserve">proposed 2023-2024 </w:t>
      </w:r>
      <w:r w:rsidR="00E9016E" w:rsidRPr="0033291D">
        <w:rPr>
          <w:rFonts w:ascii="Arial" w:hAnsi="Arial" w:cs="Arial"/>
        </w:rPr>
        <w:t xml:space="preserve">budget </w:t>
      </w:r>
      <w:r w:rsidRPr="0033291D">
        <w:rPr>
          <w:rFonts w:ascii="Arial" w:hAnsi="Arial" w:cs="Arial"/>
        </w:rPr>
        <w:t>would appropriate $64.7 million</w:t>
      </w:r>
      <w:r w:rsidR="00455440" w:rsidRPr="0033291D">
        <w:rPr>
          <w:rFonts w:ascii="Arial" w:hAnsi="Arial" w:cs="Arial"/>
        </w:rPr>
        <w:t xml:space="preserve"> to RapidRide </w:t>
      </w:r>
      <w:r w:rsidR="00E9016E" w:rsidRPr="0033291D">
        <w:rPr>
          <w:rFonts w:ascii="Arial" w:hAnsi="Arial" w:cs="Arial"/>
        </w:rPr>
        <w:t>projects</w:t>
      </w:r>
      <w:r w:rsidR="00455440" w:rsidRPr="0033291D">
        <w:rPr>
          <w:rFonts w:ascii="Arial" w:hAnsi="Arial" w:cs="Arial"/>
        </w:rPr>
        <w:t xml:space="preserve">. </w:t>
      </w:r>
      <w:r w:rsidR="00204A27" w:rsidRPr="0033291D">
        <w:rPr>
          <w:rFonts w:ascii="Arial" w:hAnsi="Arial" w:cs="Arial"/>
        </w:rPr>
        <w:t xml:space="preserve">Table </w:t>
      </w:r>
      <w:r w:rsidR="0033291D" w:rsidRPr="0033291D">
        <w:rPr>
          <w:rFonts w:ascii="Arial" w:hAnsi="Arial" w:cs="Arial"/>
        </w:rPr>
        <w:t>6</w:t>
      </w:r>
      <w:r w:rsidR="00204A27" w:rsidRPr="0033291D">
        <w:rPr>
          <w:rFonts w:ascii="Arial" w:hAnsi="Arial" w:cs="Arial"/>
        </w:rPr>
        <w:t xml:space="preserve"> shows the </w:t>
      </w:r>
      <w:r w:rsidR="00892483" w:rsidRPr="0033291D">
        <w:rPr>
          <w:rFonts w:ascii="Arial" w:hAnsi="Arial" w:cs="Arial"/>
        </w:rPr>
        <w:t xml:space="preserve">proposed 2023-2024 appropriations for the </w:t>
      </w:r>
      <w:r w:rsidR="00204A27" w:rsidRPr="0033291D">
        <w:rPr>
          <w:rFonts w:ascii="Arial" w:hAnsi="Arial" w:cs="Arial"/>
        </w:rPr>
        <w:t xml:space="preserve">lines that are </w:t>
      </w:r>
      <w:r w:rsidR="0042674F" w:rsidRPr="0033291D">
        <w:rPr>
          <w:rFonts w:ascii="Arial" w:hAnsi="Arial" w:cs="Arial"/>
        </w:rPr>
        <w:t>currently being planned, designed, or developed</w:t>
      </w:r>
      <w:r w:rsidR="001A1FB7" w:rsidRPr="0033291D">
        <w:rPr>
          <w:rFonts w:ascii="Arial" w:hAnsi="Arial" w:cs="Arial"/>
        </w:rPr>
        <w:t xml:space="preserve"> (</w:t>
      </w:r>
      <w:r w:rsidR="007D29A9" w:rsidRPr="0033291D">
        <w:rPr>
          <w:rFonts w:ascii="Arial" w:hAnsi="Arial" w:cs="Arial"/>
        </w:rPr>
        <w:t>including the planned future L line)</w:t>
      </w:r>
      <w:r w:rsidR="0042674F" w:rsidRPr="0033291D">
        <w:rPr>
          <w:rFonts w:ascii="Arial" w:hAnsi="Arial" w:cs="Arial"/>
        </w:rPr>
        <w:t>.</w:t>
      </w:r>
      <w:r w:rsidR="00956E2F" w:rsidRPr="0033291D">
        <w:rPr>
          <w:rStyle w:val="FootnoteReference"/>
          <w:rFonts w:ascii="Arial" w:hAnsi="Arial" w:cs="Arial"/>
        </w:rPr>
        <w:footnoteReference w:id="33"/>
      </w:r>
      <w:r w:rsidR="00FC0ABE" w:rsidRPr="0033291D">
        <w:rPr>
          <w:rFonts w:ascii="Arial" w:hAnsi="Arial" w:cs="Arial"/>
        </w:rPr>
        <w:t xml:space="preserve"> </w:t>
      </w:r>
    </w:p>
    <w:p w14:paraId="3005F7EC" w14:textId="77777777" w:rsidR="006F7421" w:rsidRPr="0033291D" w:rsidRDefault="006F7421" w:rsidP="006F7421">
      <w:pPr>
        <w:jc w:val="both"/>
        <w:rPr>
          <w:rFonts w:ascii="Arial" w:hAnsi="Arial" w:cs="Arial"/>
        </w:rPr>
      </w:pPr>
    </w:p>
    <w:p w14:paraId="7004DECA" w14:textId="6F1895CC" w:rsidR="006F7421" w:rsidRPr="00034CE0" w:rsidRDefault="006F7421" w:rsidP="00404EFF">
      <w:pPr>
        <w:keepNext/>
        <w:jc w:val="center"/>
        <w:rPr>
          <w:rFonts w:ascii="Arial" w:hAnsi="Arial" w:cs="Arial"/>
          <w:b/>
          <w:bCs/>
        </w:rPr>
      </w:pPr>
      <w:r w:rsidRPr="0033291D">
        <w:rPr>
          <w:rFonts w:ascii="Arial" w:hAnsi="Arial" w:cs="Arial"/>
          <w:b/>
          <w:bCs/>
        </w:rPr>
        <w:t xml:space="preserve">Table </w:t>
      </w:r>
      <w:r w:rsidR="0033291D" w:rsidRPr="0033291D">
        <w:rPr>
          <w:rFonts w:ascii="Arial" w:hAnsi="Arial" w:cs="Arial"/>
          <w:b/>
          <w:bCs/>
        </w:rPr>
        <w:t>6</w:t>
      </w:r>
      <w:r w:rsidRPr="0033291D">
        <w:rPr>
          <w:rFonts w:ascii="Arial" w:hAnsi="Arial" w:cs="Arial"/>
          <w:b/>
          <w:bCs/>
        </w:rPr>
        <w:t xml:space="preserve">. </w:t>
      </w:r>
      <w:r w:rsidR="00204A27" w:rsidRPr="0033291D">
        <w:rPr>
          <w:rFonts w:ascii="Arial" w:hAnsi="Arial" w:cs="Arial"/>
          <w:b/>
          <w:bCs/>
        </w:rPr>
        <w:t>Planned</w:t>
      </w:r>
      <w:r w:rsidR="00204A27">
        <w:rPr>
          <w:rFonts w:ascii="Arial" w:hAnsi="Arial" w:cs="Arial"/>
          <w:b/>
          <w:bCs/>
        </w:rPr>
        <w:t xml:space="preserve"> </w:t>
      </w:r>
      <w:r w:rsidRPr="00034CE0">
        <w:rPr>
          <w:rFonts w:ascii="Arial" w:hAnsi="Arial" w:cs="Arial"/>
          <w:b/>
          <w:bCs/>
        </w:rPr>
        <w:t xml:space="preserve">Rapid Ride Lines </w:t>
      </w:r>
    </w:p>
    <w:p w14:paraId="05E3E538" w14:textId="77777777" w:rsidR="006F7421" w:rsidRDefault="006F7421" w:rsidP="00404EFF">
      <w:pPr>
        <w:keepNext/>
        <w:jc w:val="both"/>
        <w:rPr>
          <w:rFonts w:ascii="Arial" w:hAnsi="Arial" w:cs="Arial"/>
        </w:rPr>
      </w:pPr>
    </w:p>
    <w:tbl>
      <w:tblPr>
        <w:tblStyle w:val="TableGrid"/>
        <w:tblW w:w="0" w:type="auto"/>
        <w:tblLook w:val="04A0" w:firstRow="1" w:lastRow="0" w:firstColumn="1" w:lastColumn="0" w:noHBand="0" w:noVBand="1"/>
      </w:tblPr>
      <w:tblGrid>
        <w:gridCol w:w="738"/>
        <w:gridCol w:w="3690"/>
        <w:gridCol w:w="1980"/>
        <w:gridCol w:w="1980"/>
        <w:gridCol w:w="1188"/>
      </w:tblGrid>
      <w:tr w:rsidR="006F7421" w14:paraId="0E55A295" w14:textId="77777777" w:rsidTr="00404EFF">
        <w:trPr>
          <w:tblHeader/>
        </w:trPr>
        <w:tc>
          <w:tcPr>
            <w:tcW w:w="738" w:type="dxa"/>
            <w:tcBorders>
              <w:top w:val="nil"/>
              <w:left w:val="nil"/>
            </w:tcBorders>
            <w:vAlign w:val="bottom"/>
          </w:tcPr>
          <w:p w14:paraId="12DD564F" w14:textId="77777777" w:rsidR="006F7421" w:rsidRPr="00162074" w:rsidRDefault="006F7421" w:rsidP="00AA0F37">
            <w:pPr>
              <w:spacing w:before="40" w:after="40"/>
              <w:jc w:val="center"/>
              <w:rPr>
                <w:rFonts w:ascii="Arial" w:hAnsi="Arial" w:cs="Arial"/>
                <w:b/>
                <w:bCs/>
                <w:sz w:val="20"/>
              </w:rPr>
            </w:pPr>
            <w:r w:rsidRPr="00162074">
              <w:rPr>
                <w:rFonts w:ascii="Arial" w:hAnsi="Arial" w:cs="Arial"/>
                <w:b/>
                <w:bCs/>
                <w:sz w:val="20"/>
              </w:rPr>
              <w:t>Line</w:t>
            </w:r>
          </w:p>
        </w:tc>
        <w:tc>
          <w:tcPr>
            <w:tcW w:w="3690" w:type="dxa"/>
            <w:tcBorders>
              <w:top w:val="nil"/>
            </w:tcBorders>
            <w:vAlign w:val="bottom"/>
          </w:tcPr>
          <w:p w14:paraId="5044DAAE" w14:textId="77777777" w:rsidR="006F7421" w:rsidRPr="00162074" w:rsidRDefault="006F7421" w:rsidP="00AA0F37">
            <w:pPr>
              <w:spacing w:before="40" w:after="40"/>
              <w:rPr>
                <w:rFonts w:ascii="Arial" w:hAnsi="Arial" w:cs="Arial"/>
                <w:b/>
                <w:bCs/>
                <w:sz w:val="20"/>
              </w:rPr>
            </w:pPr>
            <w:r w:rsidRPr="00162074">
              <w:rPr>
                <w:rFonts w:ascii="Arial" w:hAnsi="Arial" w:cs="Arial"/>
                <w:b/>
                <w:bCs/>
                <w:sz w:val="20"/>
              </w:rPr>
              <w:t>Pathway</w:t>
            </w:r>
          </w:p>
        </w:tc>
        <w:tc>
          <w:tcPr>
            <w:tcW w:w="1980" w:type="dxa"/>
            <w:tcBorders>
              <w:top w:val="nil"/>
            </w:tcBorders>
            <w:vAlign w:val="bottom"/>
          </w:tcPr>
          <w:p w14:paraId="7C863813" w14:textId="278BD7C5" w:rsidR="006F7421" w:rsidRPr="00162074" w:rsidRDefault="00C742EB" w:rsidP="00AA0F37">
            <w:pPr>
              <w:spacing w:before="40" w:after="40"/>
              <w:jc w:val="center"/>
              <w:rPr>
                <w:rFonts w:ascii="Arial" w:hAnsi="Arial" w:cs="Arial"/>
                <w:b/>
                <w:bCs/>
                <w:sz w:val="20"/>
              </w:rPr>
            </w:pPr>
            <w:r>
              <w:rPr>
                <w:rFonts w:ascii="Arial" w:hAnsi="Arial" w:cs="Arial"/>
                <w:b/>
                <w:bCs/>
                <w:sz w:val="20"/>
              </w:rPr>
              <w:t>2023-2024 Appropriation</w:t>
            </w:r>
          </w:p>
        </w:tc>
        <w:tc>
          <w:tcPr>
            <w:tcW w:w="1980" w:type="dxa"/>
            <w:tcBorders>
              <w:top w:val="nil"/>
            </w:tcBorders>
            <w:vAlign w:val="bottom"/>
          </w:tcPr>
          <w:p w14:paraId="44221C33" w14:textId="419A6A60" w:rsidR="006F7421" w:rsidRPr="00162074" w:rsidRDefault="00F44A47" w:rsidP="00AA0F37">
            <w:pPr>
              <w:spacing w:before="40" w:after="40"/>
              <w:jc w:val="center"/>
              <w:rPr>
                <w:rFonts w:ascii="Arial" w:hAnsi="Arial" w:cs="Arial"/>
                <w:b/>
                <w:bCs/>
                <w:sz w:val="20"/>
              </w:rPr>
            </w:pPr>
            <w:r>
              <w:rPr>
                <w:rFonts w:ascii="Arial" w:hAnsi="Arial" w:cs="Arial"/>
                <w:b/>
                <w:bCs/>
                <w:sz w:val="20"/>
              </w:rPr>
              <w:t xml:space="preserve">Total </w:t>
            </w:r>
            <w:r w:rsidR="00C742EB">
              <w:rPr>
                <w:rFonts w:ascii="Arial" w:hAnsi="Arial" w:cs="Arial"/>
                <w:b/>
                <w:bCs/>
                <w:sz w:val="20"/>
              </w:rPr>
              <w:t>CIP Appropriation</w:t>
            </w:r>
            <w:r w:rsidR="0024195D">
              <w:rPr>
                <w:rFonts w:ascii="Arial" w:hAnsi="Arial" w:cs="Arial"/>
                <w:b/>
                <w:bCs/>
                <w:sz w:val="20"/>
              </w:rPr>
              <w:t xml:space="preserve"> through 2028</w:t>
            </w:r>
            <w:r w:rsidR="00D31E08">
              <w:rPr>
                <w:rStyle w:val="FootnoteReference"/>
                <w:rFonts w:ascii="Arial" w:hAnsi="Arial" w:cs="Arial"/>
                <w:b/>
                <w:bCs/>
                <w:sz w:val="20"/>
              </w:rPr>
              <w:footnoteReference w:id="34"/>
            </w:r>
          </w:p>
        </w:tc>
        <w:tc>
          <w:tcPr>
            <w:tcW w:w="1188" w:type="dxa"/>
            <w:tcBorders>
              <w:top w:val="nil"/>
              <w:right w:val="nil"/>
            </w:tcBorders>
            <w:vAlign w:val="bottom"/>
          </w:tcPr>
          <w:p w14:paraId="6BA0AE8F" w14:textId="0D81CB60" w:rsidR="006F7421" w:rsidRPr="00162074" w:rsidRDefault="009674E8" w:rsidP="00AA0F37">
            <w:pPr>
              <w:spacing w:before="40" w:after="40"/>
              <w:jc w:val="center"/>
              <w:rPr>
                <w:rFonts w:ascii="Arial" w:hAnsi="Arial" w:cs="Arial"/>
                <w:b/>
                <w:bCs/>
                <w:sz w:val="20"/>
              </w:rPr>
            </w:pPr>
            <w:r>
              <w:rPr>
                <w:rFonts w:ascii="Arial" w:hAnsi="Arial" w:cs="Arial"/>
                <w:b/>
                <w:bCs/>
                <w:sz w:val="20"/>
              </w:rPr>
              <w:t>Start Date</w:t>
            </w:r>
          </w:p>
        </w:tc>
      </w:tr>
      <w:tr w:rsidR="006F7421" w14:paraId="6B00FBA5" w14:textId="77777777" w:rsidTr="00AA0F37">
        <w:tc>
          <w:tcPr>
            <w:tcW w:w="738" w:type="dxa"/>
            <w:tcBorders>
              <w:left w:val="nil"/>
            </w:tcBorders>
            <w:vAlign w:val="center"/>
          </w:tcPr>
          <w:p w14:paraId="2176BD40" w14:textId="77777777" w:rsidR="006F7421" w:rsidRPr="00181516" w:rsidRDefault="006F7421" w:rsidP="00AA0F37">
            <w:pPr>
              <w:spacing w:before="40" w:after="40"/>
              <w:jc w:val="center"/>
              <w:rPr>
                <w:rFonts w:ascii="Arial" w:hAnsi="Arial" w:cs="Arial"/>
                <w:b/>
                <w:bCs/>
                <w:szCs w:val="24"/>
              </w:rPr>
            </w:pPr>
            <w:r w:rsidRPr="00181516">
              <w:rPr>
                <w:rFonts w:ascii="Arial" w:hAnsi="Arial" w:cs="Arial"/>
                <w:b/>
                <w:bCs/>
                <w:szCs w:val="24"/>
              </w:rPr>
              <w:t>G</w:t>
            </w:r>
          </w:p>
        </w:tc>
        <w:tc>
          <w:tcPr>
            <w:tcW w:w="3690" w:type="dxa"/>
            <w:vAlign w:val="center"/>
          </w:tcPr>
          <w:p w14:paraId="63470089" w14:textId="77777777" w:rsidR="006F7421" w:rsidRDefault="006F7421" w:rsidP="00AA0F37">
            <w:pPr>
              <w:spacing w:before="40" w:after="40"/>
              <w:rPr>
                <w:rFonts w:ascii="Arial" w:hAnsi="Arial" w:cs="Arial"/>
                <w:sz w:val="20"/>
              </w:rPr>
            </w:pPr>
            <w:r>
              <w:rPr>
                <w:rFonts w:ascii="Arial" w:hAnsi="Arial" w:cs="Arial"/>
                <w:sz w:val="20"/>
              </w:rPr>
              <w:t>Madison Valley to Downtown Seattle</w:t>
            </w:r>
          </w:p>
        </w:tc>
        <w:tc>
          <w:tcPr>
            <w:tcW w:w="1980" w:type="dxa"/>
            <w:vAlign w:val="center"/>
          </w:tcPr>
          <w:p w14:paraId="35EC8221" w14:textId="173B0164" w:rsidR="006F7421" w:rsidRDefault="007E56E3" w:rsidP="00AA0F37">
            <w:pPr>
              <w:spacing w:before="40" w:after="40"/>
              <w:jc w:val="center"/>
              <w:rPr>
                <w:rFonts w:ascii="Arial" w:hAnsi="Arial" w:cs="Arial"/>
                <w:sz w:val="20"/>
              </w:rPr>
            </w:pPr>
            <w:r>
              <w:rPr>
                <w:rFonts w:ascii="Arial" w:hAnsi="Arial" w:cs="Arial"/>
                <w:sz w:val="20"/>
              </w:rPr>
              <w:t>$1,070,353</w:t>
            </w:r>
          </w:p>
        </w:tc>
        <w:tc>
          <w:tcPr>
            <w:tcW w:w="1980" w:type="dxa"/>
            <w:vAlign w:val="center"/>
          </w:tcPr>
          <w:p w14:paraId="4D48F737" w14:textId="5ED30CA9" w:rsidR="006F7421" w:rsidRDefault="00956E2F" w:rsidP="00AA0F37">
            <w:pPr>
              <w:spacing w:before="40" w:after="40"/>
              <w:jc w:val="center"/>
              <w:rPr>
                <w:rFonts w:ascii="Arial" w:hAnsi="Arial" w:cs="Arial"/>
                <w:sz w:val="20"/>
              </w:rPr>
            </w:pPr>
            <w:r>
              <w:rPr>
                <w:rFonts w:ascii="Arial" w:hAnsi="Arial" w:cs="Arial"/>
                <w:sz w:val="20"/>
              </w:rPr>
              <w:t>$10,609,039</w:t>
            </w:r>
          </w:p>
        </w:tc>
        <w:tc>
          <w:tcPr>
            <w:tcW w:w="1188" w:type="dxa"/>
            <w:tcBorders>
              <w:right w:val="nil"/>
            </w:tcBorders>
            <w:vAlign w:val="center"/>
          </w:tcPr>
          <w:p w14:paraId="0340E0E9" w14:textId="4532DA37" w:rsidR="006F7421" w:rsidRDefault="006F7421" w:rsidP="00AA0F37">
            <w:pPr>
              <w:spacing w:before="40" w:after="40"/>
              <w:jc w:val="center"/>
              <w:rPr>
                <w:rFonts w:ascii="Arial" w:hAnsi="Arial" w:cs="Arial"/>
                <w:sz w:val="20"/>
              </w:rPr>
            </w:pPr>
            <w:r>
              <w:rPr>
                <w:rFonts w:ascii="Arial" w:hAnsi="Arial" w:cs="Arial"/>
                <w:sz w:val="20"/>
              </w:rPr>
              <w:t>202</w:t>
            </w:r>
            <w:r w:rsidR="008E390A">
              <w:rPr>
                <w:rFonts w:ascii="Arial" w:hAnsi="Arial" w:cs="Arial"/>
                <w:sz w:val="20"/>
              </w:rPr>
              <w:t>4</w:t>
            </w:r>
          </w:p>
        </w:tc>
      </w:tr>
      <w:tr w:rsidR="006F7421" w14:paraId="3CB58A76" w14:textId="77777777" w:rsidTr="00AA0F37">
        <w:tc>
          <w:tcPr>
            <w:tcW w:w="738" w:type="dxa"/>
            <w:tcBorders>
              <w:left w:val="nil"/>
            </w:tcBorders>
            <w:vAlign w:val="center"/>
          </w:tcPr>
          <w:p w14:paraId="1FC2E135" w14:textId="77777777" w:rsidR="006F7421" w:rsidRPr="00181516" w:rsidRDefault="006F7421" w:rsidP="00AA0F37">
            <w:pPr>
              <w:spacing w:before="40" w:after="40"/>
              <w:jc w:val="center"/>
              <w:rPr>
                <w:rFonts w:ascii="Arial" w:hAnsi="Arial" w:cs="Arial"/>
                <w:b/>
                <w:bCs/>
                <w:szCs w:val="24"/>
              </w:rPr>
            </w:pPr>
            <w:r w:rsidRPr="00181516">
              <w:rPr>
                <w:rFonts w:ascii="Arial" w:hAnsi="Arial" w:cs="Arial"/>
                <w:b/>
                <w:bCs/>
                <w:szCs w:val="24"/>
              </w:rPr>
              <w:t>H</w:t>
            </w:r>
          </w:p>
        </w:tc>
        <w:tc>
          <w:tcPr>
            <w:tcW w:w="3690" w:type="dxa"/>
            <w:vAlign w:val="center"/>
          </w:tcPr>
          <w:p w14:paraId="124666D4" w14:textId="77777777" w:rsidR="006F7421" w:rsidRDefault="006F7421" w:rsidP="00AA0F37">
            <w:pPr>
              <w:spacing w:before="40" w:after="40"/>
              <w:rPr>
                <w:rFonts w:ascii="Arial" w:hAnsi="Arial" w:cs="Arial"/>
                <w:sz w:val="20"/>
              </w:rPr>
            </w:pPr>
            <w:r>
              <w:rPr>
                <w:rFonts w:ascii="Arial" w:hAnsi="Arial" w:cs="Arial"/>
                <w:sz w:val="20"/>
              </w:rPr>
              <w:t>Burien to Downtown Seattle</w:t>
            </w:r>
          </w:p>
        </w:tc>
        <w:tc>
          <w:tcPr>
            <w:tcW w:w="1980" w:type="dxa"/>
            <w:vAlign w:val="center"/>
          </w:tcPr>
          <w:p w14:paraId="31E38BD0" w14:textId="3B99443B" w:rsidR="006F7421" w:rsidRDefault="002F15F4" w:rsidP="00AA0F37">
            <w:pPr>
              <w:spacing w:before="40" w:after="40"/>
              <w:jc w:val="center"/>
              <w:rPr>
                <w:rFonts w:ascii="Arial" w:hAnsi="Arial" w:cs="Arial"/>
                <w:sz w:val="20"/>
              </w:rPr>
            </w:pPr>
            <w:r>
              <w:rPr>
                <w:rFonts w:ascii="Arial" w:hAnsi="Arial" w:cs="Arial"/>
                <w:sz w:val="20"/>
              </w:rPr>
              <w:t>$5,430,262</w:t>
            </w:r>
          </w:p>
        </w:tc>
        <w:tc>
          <w:tcPr>
            <w:tcW w:w="1980" w:type="dxa"/>
            <w:vAlign w:val="center"/>
          </w:tcPr>
          <w:p w14:paraId="01777844" w14:textId="173DD6A8" w:rsidR="006F7421" w:rsidRDefault="002E5E53" w:rsidP="00AA0F37">
            <w:pPr>
              <w:spacing w:before="40" w:after="40"/>
              <w:jc w:val="center"/>
              <w:rPr>
                <w:rFonts w:ascii="Arial" w:hAnsi="Arial" w:cs="Arial"/>
                <w:sz w:val="20"/>
              </w:rPr>
            </w:pPr>
            <w:r>
              <w:rPr>
                <w:rFonts w:ascii="Arial" w:hAnsi="Arial" w:cs="Arial"/>
                <w:sz w:val="20"/>
              </w:rPr>
              <w:t>$76,296,806</w:t>
            </w:r>
          </w:p>
        </w:tc>
        <w:tc>
          <w:tcPr>
            <w:tcW w:w="1188" w:type="dxa"/>
            <w:tcBorders>
              <w:right w:val="nil"/>
            </w:tcBorders>
            <w:vAlign w:val="center"/>
          </w:tcPr>
          <w:p w14:paraId="5F4D8A0A" w14:textId="77777777" w:rsidR="006F7421" w:rsidRPr="00782FE9" w:rsidRDefault="006F7421" w:rsidP="00AA0F37">
            <w:pPr>
              <w:spacing w:before="40" w:after="40"/>
              <w:jc w:val="center"/>
              <w:rPr>
                <w:rFonts w:ascii="Arial" w:hAnsi="Arial" w:cs="Arial"/>
                <w:sz w:val="20"/>
              </w:rPr>
            </w:pPr>
            <w:r w:rsidRPr="00782FE9">
              <w:rPr>
                <w:rFonts w:ascii="Arial" w:hAnsi="Arial" w:cs="Arial"/>
                <w:sz w:val="20"/>
              </w:rPr>
              <w:t>2023</w:t>
            </w:r>
          </w:p>
        </w:tc>
      </w:tr>
      <w:tr w:rsidR="006F7421" w14:paraId="0D0F82A4" w14:textId="77777777" w:rsidTr="00AA0F37">
        <w:tc>
          <w:tcPr>
            <w:tcW w:w="738" w:type="dxa"/>
            <w:tcBorders>
              <w:left w:val="nil"/>
            </w:tcBorders>
            <w:vAlign w:val="center"/>
          </w:tcPr>
          <w:p w14:paraId="1B8D943B" w14:textId="77777777" w:rsidR="006F7421" w:rsidRPr="00181516" w:rsidRDefault="006F7421" w:rsidP="00AA0F37">
            <w:pPr>
              <w:spacing w:before="40" w:after="40"/>
              <w:jc w:val="center"/>
              <w:rPr>
                <w:rFonts w:ascii="Arial" w:hAnsi="Arial" w:cs="Arial"/>
                <w:b/>
                <w:bCs/>
                <w:szCs w:val="24"/>
              </w:rPr>
            </w:pPr>
            <w:r w:rsidRPr="00181516">
              <w:rPr>
                <w:rFonts w:ascii="Arial" w:hAnsi="Arial" w:cs="Arial"/>
                <w:b/>
                <w:bCs/>
                <w:szCs w:val="24"/>
              </w:rPr>
              <w:t>I</w:t>
            </w:r>
          </w:p>
        </w:tc>
        <w:tc>
          <w:tcPr>
            <w:tcW w:w="3690" w:type="dxa"/>
            <w:vAlign w:val="center"/>
          </w:tcPr>
          <w:p w14:paraId="217C5A3A" w14:textId="77777777" w:rsidR="006F7421" w:rsidRDefault="006F7421" w:rsidP="00AA0F37">
            <w:pPr>
              <w:spacing w:before="40" w:after="40"/>
              <w:rPr>
                <w:rFonts w:ascii="Arial" w:hAnsi="Arial" w:cs="Arial"/>
                <w:sz w:val="20"/>
              </w:rPr>
            </w:pPr>
            <w:r>
              <w:rPr>
                <w:rFonts w:ascii="Arial" w:hAnsi="Arial" w:cs="Arial"/>
                <w:sz w:val="20"/>
              </w:rPr>
              <w:t>Renton to Auburn</w:t>
            </w:r>
          </w:p>
        </w:tc>
        <w:tc>
          <w:tcPr>
            <w:tcW w:w="1980" w:type="dxa"/>
            <w:vAlign w:val="center"/>
          </w:tcPr>
          <w:p w14:paraId="3A9E1ECA" w14:textId="0AD2A276" w:rsidR="006F7421" w:rsidRDefault="00710465" w:rsidP="00AA0F37">
            <w:pPr>
              <w:spacing w:before="40" w:after="40"/>
              <w:jc w:val="center"/>
              <w:rPr>
                <w:rFonts w:ascii="Arial" w:hAnsi="Arial" w:cs="Arial"/>
                <w:sz w:val="20"/>
              </w:rPr>
            </w:pPr>
            <w:r>
              <w:rPr>
                <w:rFonts w:ascii="Arial" w:hAnsi="Arial" w:cs="Arial"/>
                <w:sz w:val="20"/>
              </w:rPr>
              <w:t>$31,707,310</w:t>
            </w:r>
          </w:p>
        </w:tc>
        <w:tc>
          <w:tcPr>
            <w:tcW w:w="1980" w:type="dxa"/>
            <w:vAlign w:val="center"/>
          </w:tcPr>
          <w:p w14:paraId="5F0FFC4E" w14:textId="3E7D00B0" w:rsidR="006F7421" w:rsidRDefault="00FB5223" w:rsidP="00AA0F37">
            <w:pPr>
              <w:spacing w:before="40" w:after="40"/>
              <w:jc w:val="center"/>
              <w:rPr>
                <w:rFonts w:ascii="Arial" w:hAnsi="Arial" w:cs="Arial"/>
                <w:sz w:val="20"/>
              </w:rPr>
            </w:pPr>
            <w:r>
              <w:rPr>
                <w:rFonts w:ascii="Arial" w:hAnsi="Arial" w:cs="Arial"/>
                <w:sz w:val="20"/>
              </w:rPr>
              <w:t>$149,908,525</w:t>
            </w:r>
          </w:p>
        </w:tc>
        <w:tc>
          <w:tcPr>
            <w:tcW w:w="1188" w:type="dxa"/>
            <w:tcBorders>
              <w:right w:val="nil"/>
            </w:tcBorders>
            <w:vAlign w:val="center"/>
          </w:tcPr>
          <w:p w14:paraId="034F1CC6" w14:textId="37F2BA18" w:rsidR="006F7421" w:rsidRDefault="006F7421" w:rsidP="00AA0F37">
            <w:pPr>
              <w:spacing w:before="40" w:after="40"/>
              <w:jc w:val="center"/>
              <w:rPr>
                <w:rFonts w:ascii="Arial" w:hAnsi="Arial" w:cs="Arial"/>
                <w:sz w:val="20"/>
              </w:rPr>
            </w:pPr>
            <w:r>
              <w:rPr>
                <w:rFonts w:ascii="Arial" w:hAnsi="Arial" w:cs="Arial"/>
                <w:sz w:val="20"/>
              </w:rPr>
              <w:t>202</w:t>
            </w:r>
            <w:r w:rsidR="00EA207D">
              <w:rPr>
                <w:rFonts w:ascii="Arial" w:hAnsi="Arial" w:cs="Arial"/>
                <w:sz w:val="20"/>
              </w:rPr>
              <w:t>6</w:t>
            </w:r>
          </w:p>
        </w:tc>
      </w:tr>
      <w:tr w:rsidR="006F7421" w14:paraId="02A008B8" w14:textId="77777777" w:rsidTr="00AA0F37">
        <w:tc>
          <w:tcPr>
            <w:tcW w:w="738" w:type="dxa"/>
            <w:tcBorders>
              <w:left w:val="nil"/>
            </w:tcBorders>
            <w:vAlign w:val="center"/>
          </w:tcPr>
          <w:p w14:paraId="27139597" w14:textId="77777777" w:rsidR="006F7421" w:rsidRPr="00181516" w:rsidRDefault="006F7421" w:rsidP="00AA0F37">
            <w:pPr>
              <w:spacing w:before="40" w:after="40"/>
              <w:jc w:val="center"/>
              <w:rPr>
                <w:rFonts w:ascii="Arial" w:hAnsi="Arial" w:cs="Arial"/>
                <w:b/>
                <w:bCs/>
                <w:szCs w:val="24"/>
              </w:rPr>
            </w:pPr>
            <w:r w:rsidRPr="00181516">
              <w:rPr>
                <w:rFonts w:ascii="Arial" w:hAnsi="Arial" w:cs="Arial"/>
                <w:b/>
                <w:bCs/>
                <w:szCs w:val="24"/>
              </w:rPr>
              <w:t>J</w:t>
            </w:r>
          </w:p>
        </w:tc>
        <w:tc>
          <w:tcPr>
            <w:tcW w:w="3690" w:type="dxa"/>
            <w:vAlign w:val="center"/>
          </w:tcPr>
          <w:p w14:paraId="355E7B51" w14:textId="77777777" w:rsidR="006F7421" w:rsidRDefault="006F7421" w:rsidP="00AA0F37">
            <w:pPr>
              <w:spacing w:before="40" w:after="40"/>
              <w:rPr>
                <w:rFonts w:ascii="Arial" w:hAnsi="Arial" w:cs="Arial"/>
                <w:sz w:val="20"/>
              </w:rPr>
            </w:pPr>
            <w:r>
              <w:rPr>
                <w:rFonts w:ascii="Arial" w:hAnsi="Arial" w:cs="Arial"/>
                <w:sz w:val="20"/>
              </w:rPr>
              <w:t>Downtown Seattle to U District</w:t>
            </w:r>
          </w:p>
        </w:tc>
        <w:tc>
          <w:tcPr>
            <w:tcW w:w="1980" w:type="dxa"/>
            <w:vAlign w:val="center"/>
          </w:tcPr>
          <w:p w14:paraId="04ADA93C" w14:textId="2160F54D" w:rsidR="006F7421" w:rsidRDefault="004129B3" w:rsidP="00AA0F37">
            <w:pPr>
              <w:spacing w:before="40" w:after="40"/>
              <w:jc w:val="center"/>
              <w:rPr>
                <w:rFonts w:ascii="Arial" w:hAnsi="Arial" w:cs="Arial"/>
                <w:sz w:val="20"/>
              </w:rPr>
            </w:pPr>
            <w:r>
              <w:rPr>
                <w:rFonts w:ascii="Arial" w:hAnsi="Arial" w:cs="Arial"/>
                <w:sz w:val="20"/>
              </w:rPr>
              <w:t>$605,996</w:t>
            </w:r>
          </w:p>
        </w:tc>
        <w:tc>
          <w:tcPr>
            <w:tcW w:w="1980" w:type="dxa"/>
            <w:vAlign w:val="center"/>
          </w:tcPr>
          <w:p w14:paraId="1542139E" w14:textId="1C7B8867" w:rsidR="006F7421" w:rsidRDefault="00D67898" w:rsidP="00AA0F37">
            <w:pPr>
              <w:spacing w:before="40" w:after="40"/>
              <w:jc w:val="center"/>
              <w:rPr>
                <w:rFonts w:ascii="Arial" w:hAnsi="Arial" w:cs="Arial"/>
                <w:sz w:val="20"/>
              </w:rPr>
            </w:pPr>
            <w:r>
              <w:rPr>
                <w:rFonts w:ascii="Arial" w:hAnsi="Arial" w:cs="Arial"/>
                <w:sz w:val="20"/>
              </w:rPr>
              <w:t>$2,919,886</w:t>
            </w:r>
          </w:p>
        </w:tc>
        <w:tc>
          <w:tcPr>
            <w:tcW w:w="1188" w:type="dxa"/>
            <w:tcBorders>
              <w:right w:val="nil"/>
            </w:tcBorders>
            <w:vAlign w:val="center"/>
          </w:tcPr>
          <w:p w14:paraId="22F741B2" w14:textId="4182B419" w:rsidR="006F7421" w:rsidRDefault="006F7421" w:rsidP="00AA0F37">
            <w:pPr>
              <w:spacing w:before="40" w:after="40"/>
              <w:jc w:val="center"/>
              <w:rPr>
                <w:rFonts w:ascii="Arial" w:hAnsi="Arial" w:cs="Arial"/>
                <w:sz w:val="20"/>
              </w:rPr>
            </w:pPr>
            <w:r>
              <w:rPr>
                <w:rFonts w:ascii="Arial" w:hAnsi="Arial" w:cs="Arial"/>
                <w:sz w:val="20"/>
              </w:rPr>
              <w:t>202</w:t>
            </w:r>
            <w:r w:rsidR="008E390A">
              <w:rPr>
                <w:rFonts w:ascii="Arial" w:hAnsi="Arial" w:cs="Arial"/>
                <w:sz w:val="20"/>
              </w:rPr>
              <w:t>6</w:t>
            </w:r>
          </w:p>
        </w:tc>
      </w:tr>
      <w:tr w:rsidR="006F7421" w14:paraId="19BDBE84" w14:textId="77777777" w:rsidTr="00AA0F37">
        <w:tc>
          <w:tcPr>
            <w:tcW w:w="738" w:type="dxa"/>
            <w:tcBorders>
              <w:left w:val="nil"/>
            </w:tcBorders>
            <w:vAlign w:val="center"/>
          </w:tcPr>
          <w:p w14:paraId="507B3BC5" w14:textId="77777777" w:rsidR="006F7421" w:rsidRPr="00181516" w:rsidRDefault="006F7421" w:rsidP="00AA0F37">
            <w:pPr>
              <w:spacing w:before="40" w:after="40"/>
              <w:jc w:val="center"/>
              <w:rPr>
                <w:rFonts w:ascii="Arial" w:hAnsi="Arial" w:cs="Arial"/>
                <w:b/>
                <w:bCs/>
                <w:szCs w:val="24"/>
              </w:rPr>
            </w:pPr>
            <w:r>
              <w:rPr>
                <w:rFonts w:ascii="Arial" w:hAnsi="Arial" w:cs="Arial"/>
                <w:b/>
                <w:bCs/>
                <w:szCs w:val="24"/>
              </w:rPr>
              <w:t>K</w:t>
            </w:r>
          </w:p>
        </w:tc>
        <w:tc>
          <w:tcPr>
            <w:tcW w:w="3690" w:type="dxa"/>
            <w:vAlign w:val="center"/>
          </w:tcPr>
          <w:p w14:paraId="22B0CA40" w14:textId="77777777" w:rsidR="006F7421" w:rsidRDefault="006F7421" w:rsidP="00AA0F37">
            <w:pPr>
              <w:spacing w:before="40" w:after="40"/>
              <w:rPr>
                <w:rFonts w:ascii="Arial" w:hAnsi="Arial" w:cs="Arial"/>
                <w:sz w:val="20"/>
              </w:rPr>
            </w:pPr>
            <w:r>
              <w:rPr>
                <w:rFonts w:ascii="Arial" w:hAnsi="Arial" w:cs="Arial"/>
                <w:sz w:val="20"/>
              </w:rPr>
              <w:t>Kirkland to Bellevue</w:t>
            </w:r>
          </w:p>
        </w:tc>
        <w:tc>
          <w:tcPr>
            <w:tcW w:w="1980" w:type="dxa"/>
            <w:vAlign w:val="center"/>
          </w:tcPr>
          <w:p w14:paraId="734BCB98" w14:textId="5B3B3180" w:rsidR="006F7421" w:rsidRDefault="00D67898" w:rsidP="00AA0F37">
            <w:pPr>
              <w:spacing w:before="40" w:after="40"/>
              <w:jc w:val="center"/>
              <w:rPr>
                <w:rFonts w:ascii="Arial" w:hAnsi="Arial" w:cs="Arial"/>
                <w:sz w:val="20"/>
              </w:rPr>
            </w:pPr>
            <w:r>
              <w:rPr>
                <w:rFonts w:ascii="Arial" w:hAnsi="Arial" w:cs="Arial"/>
                <w:sz w:val="20"/>
              </w:rPr>
              <w:t>$508,549</w:t>
            </w:r>
          </w:p>
        </w:tc>
        <w:tc>
          <w:tcPr>
            <w:tcW w:w="1980" w:type="dxa"/>
            <w:vAlign w:val="center"/>
          </w:tcPr>
          <w:p w14:paraId="3DCE77F6" w14:textId="67EDDD95" w:rsidR="006F7421" w:rsidRDefault="007A1271" w:rsidP="00AA0F37">
            <w:pPr>
              <w:spacing w:before="40" w:after="40"/>
              <w:jc w:val="center"/>
              <w:rPr>
                <w:rFonts w:ascii="Arial" w:hAnsi="Arial" w:cs="Arial"/>
                <w:sz w:val="20"/>
              </w:rPr>
            </w:pPr>
            <w:r>
              <w:rPr>
                <w:rFonts w:ascii="Arial" w:hAnsi="Arial" w:cs="Arial"/>
                <w:sz w:val="20"/>
              </w:rPr>
              <w:t>$3,854,247</w:t>
            </w:r>
          </w:p>
        </w:tc>
        <w:tc>
          <w:tcPr>
            <w:tcW w:w="1188" w:type="dxa"/>
            <w:tcBorders>
              <w:right w:val="nil"/>
            </w:tcBorders>
            <w:vAlign w:val="center"/>
          </w:tcPr>
          <w:p w14:paraId="34DCE804" w14:textId="764A5902" w:rsidR="006F7421" w:rsidRDefault="008E390A" w:rsidP="00AA0F37">
            <w:pPr>
              <w:spacing w:before="40" w:after="40"/>
              <w:jc w:val="center"/>
              <w:rPr>
                <w:rFonts w:ascii="Arial" w:hAnsi="Arial" w:cs="Arial"/>
                <w:sz w:val="20"/>
              </w:rPr>
            </w:pPr>
            <w:r>
              <w:rPr>
                <w:rFonts w:ascii="Arial" w:hAnsi="Arial" w:cs="Arial"/>
                <w:sz w:val="20"/>
              </w:rPr>
              <w:t>?</w:t>
            </w:r>
            <w:r w:rsidR="00492479">
              <w:rPr>
                <w:rStyle w:val="FootnoteReference"/>
                <w:rFonts w:ascii="Arial" w:hAnsi="Arial" w:cs="Arial"/>
                <w:sz w:val="20"/>
              </w:rPr>
              <w:footnoteReference w:id="35"/>
            </w:r>
          </w:p>
        </w:tc>
      </w:tr>
      <w:tr w:rsidR="006F7421" w14:paraId="15FAA038" w14:textId="77777777" w:rsidTr="00AA0F37">
        <w:tc>
          <w:tcPr>
            <w:tcW w:w="738" w:type="dxa"/>
            <w:tcBorders>
              <w:left w:val="nil"/>
            </w:tcBorders>
            <w:vAlign w:val="center"/>
          </w:tcPr>
          <w:p w14:paraId="1F42985C" w14:textId="77777777" w:rsidR="006F7421" w:rsidRDefault="006F7421" w:rsidP="00AA0F37">
            <w:pPr>
              <w:spacing w:before="40" w:after="40"/>
              <w:jc w:val="center"/>
              <w:rPr>
                <w:rFonts w:ascii="Arial" w:hAnsi="Arial" w:cs="Arial"/>
                <w:b/>
                <w:bCs/>
                <w:szCs w:val="24"/>
              </w:rPr>
            </w:pPr>
            <w:r>
              <w:rPr>
                <w:rFonts w:ascii="Arial" w:hAnsi="Arial" w:cs="Arial"/>
                <w:b/>
                <w:bCs/>
                <w:szCs w:val="24"/>
              </w:rPr>
              <w:t>R</w:t>
            </w:r>
          </w:p>
        </w:tc>
        <w:tc>
          <w:tcPr>
            <w:tcW w:w="3690" w:type="dxa"/>
            <w:vAlign w:val="center"/>
          </w:tcPr>
          <w:p w14:paraId="58DBC30F" w14:textId="77777777" w:rsidR="006F7421" w:rsidRDefault="006F7421" w:rsidP="00AA0F37">
            <w:pPr>
              <w:spacing w:before="40" w:after="40"/>
              <w:rPr>
                <w:rFonts w:ascii="Arial" w:hAnsi="Arial" w:cs="Arial"/>
                <w:sz w:val="20"/>
              </w:rPr>
            </w:pPr>
            <w:r>
              <w:rPr>
                <w:rFonts w:ascii="Arial" w:hAnsi="Arial" w:cs="Arial"/>
                <w:sz w:val="20"/>
              </w:rPr>
              <w:t>Rainier Beach to Downtown Seattle</w:t>
            </w:r>
          </w:p>
        </w:tc>
        <w:tc>
          <w:tcPr>
            <w:tcW w:w="1980" w:type="dxa"/>
            <w:vAlign w:val="center"/>
          </w:tcPr>
          <w:p w14:paraId="01D6F4CA" w14:textId="549FBC83" w:rsidR="006F7421" w:rsidRDefault="00157085" w:rsidP="00AA0F37">
            <w:pPr>
              <w:spacing w:before="40" w:after="40"/>
              <w:jc w:val="center"/>
              <w:rPr>
                <w:rFonts w:ascii="Arial" w:hAnsi="Arial" w:cs="Arial"/>
                <w:sz w:val="20"/>
              </w:rPr>
            </w:pPr>
            <w:r>
              <w:rPr>
                <w:rFonts w:ascii="Arial" w:hAnsi="Arial" w:cs="Arial"/>
                <w:sz w:val="20"/>
              </w:rPr>
              <w:t>$21,932,277</w:t>
            </w:r>
          </w:p>
        </w:tc>
        <w:tc>
          <w:tcPr>
            <w:tcW w:w="1980" w:type="dxa"/>
            <w:vAlign w:val="center"/>
          </w:tcPr>
          <w:p w14:paraId="2E7990CC" w14:textId="5AB21F8E" w:rsidR="006F7421" w:rsidRDefault="001F79A8" w:rsidP="00AA0F37">
            <w:pPr>
              <w:spacing w:before="40" w:after="40"/>
              <w:jc w:val="center"/>
              <w:rPr>
                <w:rFonts w:ascii="Arial" w:hAnsi="Arial" w:cs="Arial"/>
                <w:sz w:val="20"/>
              </w:rPr>
            </w:pPr>
            <w:r>
              <w:rPr>
                <w:rFonts w:ascii="Arial" w:hAnsi="Arial" w:cs="Arial"/>
                <w:sz w:val="20"/>
              </w:rPr>
              <w:t>$129,863,300</w:t>
            </w:r>
          </w:p>
        </w:tc>
        <w:tc>
          <w:tcPr>
            <w:tcW w:w="1188" w:type="dxa"/>
            <w:tcBorders>
              <w:right w:val="nil"/>
            </w:tcBorders>
            <w:vAlign w:val="center"/>
          </w:tcPr>
          <w:p w14:paraId="08B4AA6C" w14:textId="3A20117D" w:rsidR="006F7421" w:rsidRDefault="008E390A" w:rsidP="00AA0F37">
            <w:pPr>
              <w:spacing w:before="40" w:after="40"/>
              <w:jc w:val="center"/>
              <w:rPr>
                <w:rFonts w:ascii="Arial" w:hAnsi="Arial" w:cs="Arial"/>
                <w:sz w:val="20"/>
              </w:rPr>
            </w:pPr>
            <w:r>
              <w:rPr>
                <w:rFonts w:ascii="Arial" w:hAnsi="Arial" w:cs="Arial"/>
                <w:sz w:val="20"/>
              </w:rPr>
              <w:t>?</w:t>
            </w:r>
          </w:p>
        </w:tc>
      </w:tr>
      <w:tr w:rsidR="007D29A9" w14:paraId="3F88EA80" w14:textId="77777777" w:rsidTr="00AA0F37">
        <w:tc>
          <w:tcPr>
            <w:tcW w:w="738" w:type="dxa"/>
            <w:tcBorders>
              <w:left w:val="nil"/>
            </w:tcBorders>
            <w:vAlign w:val="center"/>
          </w:tcPr>
          <w:p w14:paraId="2558E8BB" w14:textId="42D2ACED" w:rsidR="007D29A9" w:rsidRDefault="007D29A9" w:rsidP="00AA0F37">
            <w:pPr>
              <w:spacing w:before="40" w:after="40"/>
              <w:jc w:val="center"/>
              <w:rPr>
                <w:rFonts w:ascii="Arial" w:hAnsi="Arial" w:cs="Arial"/>
                <w:b/>
                <w:bCs/>
                <w:szCs w:val="24"/>
              </w:rPr>
            </w:pPr>
            <w:r>
              <w:rPr>
                <w:rFonts w:ascii="Arial" w:hAnsi="Arial" w:cs="Arial"/>
                <w:b/>
                <w:bCs/>
                <w:szCs w:val="24"/>
              </w:rPr>
              <w:t>L</w:t>
            </w:r>
          </w:p>
        </w:tc>
        <w:tc>
          <w:tcPr>
            <w:tcW w:w="3690" w:type="dxa"/>
            <w:vAlign w:val="center"/>
          </w:tcPr>
          <w:p w14:paraId="5EE51963" w14:textId="13D8DE8E" w:rsidR="007D29A9" w:rsidRDefault="007D29A9" w:rsidP="00AA0F37">
            <w:pPr>
              <w:spacing w:before="40" w:after="40"/>
              <w:rPr>
                <w:rFonts w:ascii="Arial" w:hAnsi="Arial" w:cs="Arial"/>
                <w:sz w:val="20"/>
              </w:rPr>
            </w:pPr>
            <w:r>
              <w:rPr>
                <w:rFonts w:ascii="Arial" w:hAnsi="Arial" w:cs="Arial"/>
                <w:sz w:val="20"/>
              </w:rPr>
              <w:t>Location to be determined</w:t>
            </w:r>
            <w:r>
              <w:rPr>
                <w:rStyle w:val="FootnoteReference"/>
                <w:rFonts w:ascii="Arial" w:hAnsi="Arial" w:cs="Arial"/>
                <w:sz w:val="20"/>
              </w:rPr>
              <w:footnoteReference w:id="36"/>
            </w:r>
          </w:p>
        </w:tc>
        <w:tc>
          <w:tcPr>
            <w:tcW w:w="1980" w:type="dxa"/>
            <w:vAlign w:val="center"/>
          </w:tcPr>
          <w:p w14:paraId="160BC16F" w14:textId="38885C0C" w:rsidR="007D29A9" w:rsidRDefault="00C11C54" w:rsidP="00AA0F37">
            <w:pPr>
              <w:spacing w:before="40" w:after="40"/>
              <w:jc w:val="center"/>
              <w:rPr>
                <w:rFonts w:ascii="Arial" w:hAnsi="Arial" w:cs="Arial"/>
                <w:sz w:val="20"/>
              </w:rPr>
            </w:pPr>
            <w:r>
              <w:rPr>
                <w:rFonts w:ascii="Arial" w:hAnsi="Arial" w:cs="Arial"/>
                <w:sz w:val="20"/>
              </w:rPr>
              <w:t>$0</w:t>
            </w:r>
          </w:p>
        </w:tc>
        <w:tc>
          <w:tcPr>
            <w:tcW w:w="1980" w:type="dxa"/>
            <w:vAlign w:val="center"/>
          </w:tcPr>
          <w:p w14:paraId="5C088A53" w14:textId="2C27AECC" w:rsidR="007D29A9" w:rsidRDefault="00C11C54" w:rsidP="00AA0F37">
            <w:pPr>
              <w:spacing w:before="40" w:after="40"/>
              <w:jc w:val="center"/>
              <w:rPr>
                <w:rFonts w:ascii="Arial" w:hAnsi="Arial" w:cs="Arial"/>
                <w:sz w:val="20"/>
              </w:rPr>
            </w:pPr>
            <w:r>
              <w:rPr>
                <w:rFonts w:ascii="Arial" w:hAnsi="Arial" w:cs="Arial"/>
                <w:sz w:val="20"/>
              </w:rPr>
              <w:t>$5,000,000</w:t>
            </w:r>
          </w:p>
        </w:tc>
        <w:tc>
          <w:tcPr>
            <w:tcW w:w="1188" w:type="dxa"/>
            <w:tcBorders>
              <w:right w:val="nil"/>
            </w:tcBorders>
            <w:vAlign w:val="center"/>
          </w:tcPr>
          <w:p w14:paraId="4EAF8B89" w14:textId="02990147" w:rsidR="007D29A9" w:rsidRDefault="007D29A9" w:rsidP="00AA0F37">
            <w:pPr>
              <w:spacing w:before="40" w:after="40"/>
              <w:jc w:val="center"/>
              <w:rPr>
                <w:rFonts w:ascii="Arial" w:hAnsi="Arial" w:cs="Arial"/>
                <w:sz w:val="20"/>
              </w:rPr>
            </w:pPr>
            <w:r>
              <w:rPr>
                <w:rFonts w:ascii="Arial" w:hAnsi="Arial" w:cs="Arial"/>
                <w:sz w:val="20"/>
              </w:rPr>
              <w:t>?</w:t>
            </w:r>
          </w:p>
        </w:tc>
      </w:tr>
    </w:tbl>
    <w:p w14:paraId="52906FEA" w14:textId="3D92879A" w:rsidR="00C72B44" w:rsidRPr="00956E2F" w:rsidRDefault="00956E2F" w:rsidP="00956E2F">
      <w:pPr>
        <w:spacing w:before="120" w:line="264" w:lineRule="auto"/>
        <w:jc w:val="both"/>
        <w:rPr>
          <w:rFonts w:ascii="Arial" w:hAnsi="Arial" w:cs="Arial"/>
          <w:sz w:val="20"/>
        </w:rPr>
      </w:pPr>
      <w:r>
        <w:rPr>
          <w:rFonts w:ascii="Arial" w:hAnsi="Arial" w:cs="Arial"/>
          <w:sz w:val="20"/>
        </w:rPr>
        <w:t xml:space="preserve">Note: </w:t>
      </w:r>
      <w:r w:rsidRPr="00956E2F">
        <w:rPr>
          <w:rFonts w:ascii="Arial" w:hAnsi="Arial" w:cs="Arial"/>
          <w:sz w:val="20"/>
        </w:rPr>
        <w:t xml:space="preserve">The G, H, J, and R lines are being developed in collaboration with the City of Seattle, with capital </w:t>
      </w:r>
      <w:r w:rsidR="00F342D2">
        <w:rPr>
          <w:rFonts w:ascii="Arial" w:hAnsi="Arial" w:cs="Arial"/>
          <w:sz w:val="20"/>
        </w:rPr>
        <w:t>contributions</w:t>
      </w:r>
      <w:r w:rsidRPr="00956E2F">
        <w:rPr>
          <w:rFonts w:ascii="Arial" w:hAnsi="Arial" w:cs="Arial"/>
          <w:sz w:val="20"/>
        </w:rPr>
        <w:t xml:space="preserve"> from the Move Seattle levy.</w:t>
      </w:r>
    </w:p>
    <w:p w14:paraId="2526F83B" w14:textId="630DB0D8" w:rsidR="00E952AA" w:rsidRDefault="00E952AA" w:rsidP="00C72B44">
      <w:pPr>
        <w:spacing w:line="264" w:lineRule="auto"/>
        <w:jc w:val="both"/>
        <w:rPr>
          <w:rFonts w:ascii="Arial" w:hAnsi="Arial" w:cs="Arial"/>
          <w:szCs w:val="24"/>
        </w:rPr>
      </w:pPr>
    </w:p>
    <w:p w14:paraId="169F781C" w14:textId="05589A57" w:rsidR="001273A9" w:rsidRDefault="004D79F1" w:rsidP="00C72B44">
      <w:pPr>
        <w:spacing w:line="264" w:lineRule="auto"/>
        <w:jc w:val="both"/>
        <w:rPr>
          <w:rFonts w:ascii="Arial" w:hAnsi="Arial" w:cs="Arial"/>
          <w:szCs w:val="24"/>
        </w:rPr>
      </w:pPr>
      <w:r>
        <w:rPr>
          <w:rFonts w:ascii="Arial" w:hAnsi="Arial" w:cs="Arial"/>
          <w:szCs w:val="24"/>
        </w:rPr>
        <w:t>For the two lines</w:t>
      </w:r>
      <w:r w:rsidR="000E34EA">
        <w:rPr>
          <w:rFonts w:ascii="Arial" w:hAnsi="Arial" w:cs="Arial"/>
          <w:szCs w:val="24"/>
        </w:rPr>
        <w:t xml:space="preserve"> for which planning is underway</w:t>
      </w:r>
      <w:r w:rsidR="004124AD">
        <w:rPr>
          <w:rFonts w:ascii="Arial" w:hAnsi="Arial" w:cs="Arial"/>
          <w:szCs w:val="24"/>
        </w:rPr>
        <w:t xml:space="preserve"> (K</w:t>
      </w:r>
      <w:r w:rsidR="0086776E">
        <w:rPr>
          <w:rFonts w:ascii="Arial" w:hAnsi="Arial" w:cs="Arial"/>
          <w:szCs w:val="24"/>
        </w:rPr>
        <w:t xml:space="preserve"> and</w:t>
      </w:r>
      <w:r w:rsidR="004124AD">
        <w:rPr>
          <w:rFonts w:ascii="Arial" w:hAnsi="Arial" w:cs="Arial"/>
          <w:szCs w:val="24"/>
        </w:rPr>
        <w:t xml:space="preserve"> R)</w:t>
      </w:r>
      <w:r w:rsidR="000E34EA">
        <w:rPr>
          <w:rFonts w:ascii="Arial" w:hAnsi="Arial" w:cs="Arial"/>
          <w:szCs w:val="24"/>
        </w:rPr>
        <w:t xml:space="preserve">, </w:t>
      </w:r>
      <w:r w:rsidR="001273A9">
        <w:rPr>
          <w:rFonts w:ascii="Arial" w:hAnsi="Arial" w:cs="Arial"/>
          <w:szCs w:val="24"/>
        </w:rPr>
        <w:t>Metro proposes that design work proceed first with the R Line</w:t>
      </w:r>
      <w:r w:rsidR="00486FE4">
        <w:rPr>
          <w:rFonts w:ascii="Arial" w:hAnsi="Arial" w:cs="Arial"/>
          <w:szCs w:val="24"/>
        </w:rPr>
        <w:t xml:space="preserve"> because it serves an area with a high overall equity </w:t>
      </w:r>
      <w:r w:rsidR="00C032DB">
        <w:rPr>
          <w:rFonts w:ascii="Arial" w:hAnsi="Arial" w:cs="Arial"/>
          <w:szCs w:val="24"/>
        </w:rPr>
        <w:lastRenderedPageBreak/>
        <w:t xml:space="preserve">score and follows the path of an existing route (Route 7) that has retained </w:t>
      </w:r>
      <w:r w:rsidR="00ED40A6">
        <w:rPr>
          <w:rFonts w:ascii="Arial" w:hAnsi="Arial" w:cs="Arial"/>
          <w:szCs w:val="24"/>
        </w:rPr>
        <w:t xml:space="preserve">high </w:t>
      </w:r>
      <w:r w:rsidR="00C032DB">
        <w:rPr>
          <w:rFonts w:ascii="Arial" w:hAnsi="Arial" w:cs="Arial"/>
          <w:szCs w:val="24"/>
        </w:rPr>
        <w:t xml:space="preserve">ridership levels during the </w:t>
      </w:r>
      <w:r w:rsidR="005A1067">
        <w:rPr>
          <w:rFonts w:ascii="Arial" w:hAnsi="Arial" w:cs="Arial"/>
          <w:szCs w:val="24"/>
        </w:rPr>
        <w:t>pandemic</w:t>
      </w:r>
      <w:r w:rsidR="001273A9">
        <w:rPr>
          <w:rFonts w:ascii="Arial" w:hAnsi="Arial" w:cs="Arial"/>
          <w:szCs w:val="24"/>
        </w:rPr>
        <w:t xml:space="preserve">. </w:t>
      </w:r>
    </w:p>
    <w:p w14:paraId="7A5BCC3B" w14:textId="77777777" w:rsidR="001273A9" w:rsidRDefault="001273A9" w:rsidP="00C72B44">
      <w:pPr>
        <w:spacing w:line="264" w:lineRule="auto"/>
        <w:jc w:val="both"/>
        <w:rPr>
          <w:rFonts w:ascii="Arial" w:hAnsi="Arial" w:cs="Arial"/>
          <w:szCs w:val="24"/>
        </w:rPr>
      </w:pPr>
    </w:p>
    <w:p w14:paraId="1F463E44" w14:textId="3325B407" w:rsidR="00E952AA" w:rsidRPr="00AC4364" w:rsidRDefault="00AC4364" w:rsidP="00AC4364">
      <w:pPr>
        <w:pStyle w:val="ListParagraph"/>
        <w:numPr>
          <w:ilvl w:val="0"/>
          <w:numId w:val="15"/>
        </w:numPr>
        <w:spacing w:line="264" w:lineRule="auto"/>
        <w:jc w:val="both"/>
        <w:rPr>
          <w:rFonts w:ascii="Arial" w:hAnsi="Arial" w:cs="Arial"/>
          <w:szCs w:val="24"/>
        </w:rPr>
      </w:pPr>
      <w:r w:rsidRPr="005A1067">
        <w:rPr>
          <w:rFonts w:ascii="Arial" w:hAnsi="Arial" w:cs="Arial"/>
          <w:b/>
          <w:bCs/>
          <w:szCs w:val="24"/>
        </w:rPr>
        <w:t xml:space="preserve">R Line </w:t>
      </w:r>
      <w:r>
        <w:rPr>
          <w:rFonts w:ascii="Arial" w:hAnsi="Arial" w:cs="Arial"/>
          <w:szCs w:val="24"/>
        </w:rPr>
        <w:t>w</w:t>
      </w:r>
      <w:r w:rsidR="001273A9" w:rsidRPr="00AC4364">
        <w:rPr>
          <w:rFonts w:ascii="Arial" w:hAnsi="Arial" w:cs="Arial"/>
          <w:szCs w:val="24"/>
        </w:rPr>
        <w:t>ork was paused</w:t>
      </w:r>
      <w:r>
        <w:rPr>
          <w:rFonts w:ascii="Arial" w:hAnsi="Arial" w:cs="Arial"/>
          <w:szCs w:val="24"/>
        </w:rPr>
        <w:t xml:space="preserve"> at 10 percent design. The </w:t>
      </w:r>
      <w:r w:rsidR="000E09C7">
        <w:rPr>
          <w:rFonts w:ascii="Arial" w:hAnsi="Arial" w:cs="Arial"/>
          <w:szCs w:val="24"/>
        </w:rPr>
        <w:t xml:space="preserve">2023-2024 </w:t>
      </w:r>
      <w:r>
        <w:rPr>
          <w:rFonts w:ascii="Arial" w:hAnsi="Arial" w:cs="Arial"/>
          <w:szCs w:val="24"/>
        </w:rPr>
        <w:t xml:space="preserve">budget would appropriate $21.9 million to </w:t>
      </w:r>
      <w:r w:rsidR="000E5DD3">
        <w:rPr>
          <w:rFonts w:ascii="Arial" w:hAnsi="Arial" w:cs="Arial"/>
          <w:szCs w:val="24"/>
        </w:rPr>
        <w:t>revisit the alternatives analysis</w:t>
      </w:r>
      <w:r w:rsidR="004245E1">
        <w:rPr>
          <w:rStyle w:val="FootnoteReference"/>
          <w:rFonts w:ascii="Arial" w:hAnsi="Arial" w:cs="Arial"/>
          <w:szCs w:val="24"/>
        </w:rPr>
        <w:footnoteReference w:id="37"/>
      </w:r>
      <w:r w:rsidR="000E5DD3">
        <w:rPr>
          <w:rFonts w:ascii="Arial" w:hAnsi="Arial" w:cs="Arial"/>
          <w:szCs w:val="24"/>
        </w:rPr>
        <w:t xml:space="preserve"> and proceed with </w:t>
      </w:r>
      <w:r w:rsidR="00EC1658">
        <w:rPr>
          <w:rFonts w:ascii="Arial" w:hAnsi="Arial" w:cs="Arial"/>
          <w:szCs w:val="24"/>
        </w:rPr>
        <w:t xml:space="preserve">environmental documentation. </w:t>
      </w:r>
      <w:r w:rsidR="008E2CCC">
        <w:rPr>
          <w:rFonts w:ascii="Arial" w:hAnsi="Arial" w:cs="Arial"/>
          <w:szCs w:val="24"/>
        </w:rPr>
        <w:t>The budget anticipates that federal grants would f</w:t>
      </w:r>
      <w:r w:rsidR="00E71134">
        <w:rPr>
          <w:rFonts w:ascii="Arial" w:hAnsi="Arial" w:cs="Arial"/>
          <w:szCs w:val="24"/>
        </w:rPr>
        <w:t>inance</w:t>
      </w:r>
      <w:r w:rsidR="008E2CCC">
        <w:rPr>
          <w:rFonts w:ascii="Arial" w:hAnsi="Arial" w:cs="Arial"/>
          <w:szCs w:val="24"/>
        </w:rPr>
        <w:t xml:space="preserve"> approximately 60 percent of the </w:t>
      </w:r>
      <w:r w:rsidR="008E2CCC" w:rsidRPr="000E09C7">
        <w:rPr>
          <w:rFonts w:ascii="Arial" w:hAnsi="Arial" w:cs="Arial"/>
          <w:szCs w:val="24"/>
        </w:rPr>
        <w:t xml:space="preserve">estimated </w:t>
      </w:r>
      <w:r w:rsidR="008E2CCC" w:rsidRPr="000E09C7">
        <w:rPr>
          <w:rFonts w:ascii="Arial" w:hAnsi="Arial" w:cs="Arial"/>
        </w:rPr>
        <w:t>$</w:t>
      </w:r>
      <w:r w:rsidR="004F2F6E">
        <w:rPr>
          <w:rFonts w:ascii="Arial" w:hAnsi="Arial" w:cs="Arial"/>
        </w:rPr>
        <w:t>130</w:t>
      </w:r>
      <w:r w:rsidR="008E2CCC" w:rsidRPr="000E09C7">
        <w:rPr>
          <w:rFonts w:ascii="Arial" w:hAnsi="Arial" w:cs="Arial"/>
        </w:rPr>
        <w:t xml:space="preserve"> million capital</w:t>
      </w:r>
      <w:r w:rsidR="008E2CCC">
        <w:rPr>
          <w:rFonts w:ascii="Arial" w:hAnsi="Arial" w:cs="Arial"/>
        </w:rPr>
        <w:t xml:space="preserve"> cost to develop the line</w:t>
      </w:r>
      <w:r w:rsidR="000E09C7">
        <w:rPr>
          <w:rFonts w:ascii="Arial" w:hAnsi="Arial" w:cs="Arial"/>
        </w:rPr>
        <w:t>, and that the City of Seattle may be able to become a funding or delivery partner.</w:t>
      </w:r>
    </w:p>
    <w:p w14:paraId="0434B7DF" w14:textId="708B480D" w:rsidR="00E952AA" w:rsidRDefault="00E952AA" w:rsidP="00C72B44">
      <w:pPr>
        <w:spacing w:line="264" w:lineRule="auto"/>
        <w:jc w:val="both"/>
        <w:rPr>
          <w:rFonts w:ascii="Arial" w:hAnsi="Arial" w:cs="Arial"/>
          <w:szCs w:val="24"/>
        </w:rPr>
      </w:pPr>
    </w:p>
    <w:p w14:paraId="2A581C93" w14:textId="467F61BF" w:rsidR="006D28F1" w:rsidRDefault="006D28F1" w:rsidP="006D28F1">
      <w:pPr>
        <w:pStyle w:val="ListParagraph"/>
        <w:numPr>
          <w:ilvl w:val="0"/>
          <w:numId w:val="15"/>
        </w:numPr>
        <w:spacing w:line="264" w:lineRule="auto"/>
        <w:jc w:val="both"/>
        <w:rPr>
          <w:rFonts w:ascii="Arial" w:hAnsi="Arial" w:cs="Arial"/>
          <w:szCs w:val="24"/>
        </w:rPr>
      </w:pPr>
      <w:r w:rsidRPr="001301CA">
        <w:rPr>
          <w:rFonts w:ascii="Arial" w:hAnsi="Arial" w:cs="Arial"/>
          <w:b/>
          <w:bCs/>
          <w:szCs w:val="24"/>
        </w:rPr>
        <w:t>K Line</w:t>
      </w:r>
      <w:r>
        <w:rPr>
          <w:rFonts w:ascii="Arial" w:hAnsi="Arial" w:cs="Arial"/>
          <w:szCs w:val="24"/>
        </w:rPr>
        <w:t xml:space="preserve"> work was paused at one percent design but reached two to five percent design in 2021</w:t>
      </w:r>
      <w:r w:rsidR="001301CA">
        <w:rPr>
          <w:rFonts w:ascii="Arial" w:hAnsi="Arial" w:cs="Arial"/>
          <w:szCs w:val="24"/>
        </w:rPr>
        <w:t xml:space="preserve"> </w:t>
      </w:r>
      <w:r w:rsidR="00B22592">
        <w:rPr>
          <w:rFonts w:ascii="Arial" w:hAnsi="Arial" w:cs="Arial"/>
          <w:szCs w:val="24"/>
        </w:rPr>
        <w:t xml:space="preserve">due to </w:t>
      </w:r>
      <w:r w:rsidR="00A63D23">
        <w:rPr>
          <w:rFonts w:ascii="Arial" w:hAnsi="Arial" w:cs="Arial"/>
          <w:szCs w:val="24"/>
        </w:rPr>
        <w:t xml:space="preserve">the </w:t>
      </w:r>
      <w:r w:rsidR="001301CA">
        <w:rPr>
          <w:rFonts w:ascii="Arial" w:hAnsi="Arial" w:cs="Arial"/>
          <w:szCs w:val="24"/>
        </w:rPr>
        <w:t xml:space="preserve">additional work </w:t>
      </w:r>
      <w:r w:rsidR="00B71F3E">
        <w:rPr>
          <w:rFonts w:ascii="Arial" w:hAnsi="Arial" w:cs="Arial"/>
          <w:szCs w:val="24"/>
        </w:rPr>
        <w:t>Metro</w:t>
      </w:r>
      <w:r w:rsidR="001301CA">
        <w:rPr>
          <w:rFonts w:ascii="Arial" w:hAnsi="Arial" w:cs="Arial"/>
          <w:szCs w:val="24"/>
        </w:rPr>
        <w:t xml:space="preserve"> conducted to develop the RapidRide Restart Report</w:t>
      </w:r>
      <w:r w:rsidR="00B71F3E">
        <w:rPr>
          <w:rFonts w:ascii="Arial" w:hAnsi="Arial" w:cs="Arial"/>
          <w:szCs w:val="24"/>
        </w:rPr>
        <w:t>, which was required in response to a Council budget proviso</w:t>
      </w:r>
      <w:r w:rsidR="001301CA">
        <w:rPr>
          <w:rFonts w:ascii="Arial" w:hAnsi="Arial" w:cs="Arial"/>
          <w:szCs w:val="24"/>
        </w:rPr>
        <w:t>.</w:t>
      </w:r>
      <w:r w:rsidR="001301CA">
        <w:rPr>
          <w:rStyle w:val="FootnoteReference"/>
          <w:rFonts w:ascii="Arial" w:hAnsi="Arial" w:cs="Arial"/>
          <w:szCs w:val="24"/>
        </w:rPr>
        <w:footnoteReference w:id="38"/>
      </w:r>
      <w:r w:rsidR="001301CA">
        <w:rPr>
          <w:rFonts w:ascii="Arial" w:hAnsi="Arial" w:cs="Arial"/>
          <w:szCs w:val="24"/>
        </w:rPr>
        <w:t xml:space="preserve"> </w:t>
      </w:r>
      <w:r w:rsidR="002804D1">
        <w:rPr>
          <w:rFonts w:ascii="Arial" w:hAnsi="Arial" w:cs="Arial"/>
          <w:szCs w:val="24"/>
        </w:rPr>
        <w:t>The 2023-2024 budget would appropriate $500,000</w:t>
      </w:r>
      <w:r w:rsidR="001641FC">
        <w:rPr>
          <w:rFonts w:ascii="Arial" w:hAnsi="Arial" w:cs="Arial"/>
          <w:szCs w:val="24"/>
        </w:rPr>
        <w:t xml:space="preserve"> for the K Line</w:t>
      </w:r>
      <w:r w:rsidR="002804D1">
        <w:rPr>
          <w:rFonts w:ascii="Arial" w:hAnsi="Arial" w:cs="Arial"/>
          <w:szCs w:val="24"/>
        </w:rPr>
        <w:t xml:space="preserve">, which Metro states would be used to take the project to 10 percent design and prepare for the next stages of development. </w:t>
      </w:r>
      <w:r w:rsidR="001641FC">
        <w:rPr>
          <w:rFonts w:ascii="Arial" w:hAnsi="Arial" w:cs="Arial"/>
          <w:szCs w:val="24"/>
        </w:rPr>
        <w:t>No potential appropriations for further stages of the design or development are shown in the proposed capital plan for future biennia, leaving the status of K Line development unclear.</w:t>
      </w:r>
    </w:p>
    <w:p w14:paraId="643B468F" w14:textId="77777777" w:rsidR="00686952" w:rsidRPr="00686952" w:rsidRDefault="00686952" w:rsidP="00686952">
      <w:pPr>
        <w:pStyle w:val="ListParagraph"/>
        <w:rPr>
          <w:rFonts w:ascii="Arial" w:hAnsi="Arial" w:cs="Arial"/>
          <w:szCs w:val="24"/>
        </w:rPr>
      </w:pPr>
    </w:p>
    <w:p w14:paraId="35946C99" w14:textId="66E7CDDD" w:rsidR="003E6EC7" w:rsidRDefault="00DD47E0" w:rsidP="00E43E8F">
      <w:pPr>
        <w:spacing w:line="264" w:lineRule="auto"/>
        <w:contextualSpacing/>
        <w:jc w:val="both"/>
        <w:rPr>
          <w:rFonts w:ascii="Arial" w:hAnsi="Arial" w:cs="Arial"/>
          <w:bCs/>
          <w:szCs w:val="24"/>
        </w:rPr>
      </w:pPr>
      <w:r w:rsidRPr="00372CEB">
        <w:rPr>
          <w:rFonts w:ascii="Arial" w:hAnsi="Arial" w:cs="Arial"/>
          <w:b/>
          <w:szCs w:val="24"/>
        </w:rPr>
        <w:t>Information Technology Investments</w:t>
      </w:r>
      <w:r w:rsidR="005E59CE" w:rsidRPr="00372CEB">
        <w:rPr>
          <w:rFonts w:ascii="Arial" w:hAnsi="Arial" w:cs="Arial"/>
          <w:b/>
          <w:szCs w:val="24"/>
        </w:rPr>
        <w:t>.</w:t>
      </w:r>
      <w:r w:rsidR="005E59CE">
        <w:rPr>
          <w:rFonts w:ascii="Arial" w:hAnsi="Arial" w:cs="Arial"/>
          <w:b/>
          <w:szCs w:val="24"/>
        </w:rPr>
        <w:t xml:space="preserve"> </w:t>
      </w:r>
      <w:r w:rsidR="005E59CE" w:rsidRPr="005E59CE">
        <w:rPr>
          <w:rFonts w:ascii="Arial" w:hAnsi="Arial" w:cs="Arial"/>
          <w:bCs/>
          <w:szCs w:val="24"/>
        </w:rPr>
        <w:t xml:space="preserve">Metro’s </w:t>
      </w:r>
      <w:r w:rsidR="001D684E">
        <w:rPr>
          <w:rFonts w:ascii="Arial" w:hAnsi="Arial" w:cs="Arial"/>
          <w:bCs/>
          <w:szCs w:val="24"/>
        </w:rPr>
        <w:t xml:space="preserve">operations </w:t>
      </w:r>
      <w:r w:rsidR="00B35D9E">
        <w:rPr>
          <w:rFonts w:ascii="Arial" w:hAnsi="Arial" w:cs="Arial"/>
          <w:bCs/>
          <w:szCs w:val="24"/>
        </w:rPr>
        <w:t xml:space="preserve">rely on several hundred technology applications and interfaces that are used to plan routes and schedules, collect fares, communicate between buses and the base, and provide information to customers. The </w:t>
      </w:r>
      <w:r w:rsidR="00B35D9E" w:rsidRPr="00074868">
        <w:rPr>
          <w:rFonts w:ascii="Arial" w:hAnsi="Arial" w:cs="Arial"/>
          <w:bCs/>
          <w:szCs w:val="24"/>
        </w:rPr>
        <w:t>budget continues Metro’s investment in technology solutions with $</w:t>
      </w:r>
      <w:r w:rsidR="00074868" w:rsidRPr="00074868">
        <w:rPr>
          <w:rFonts w:ascii="Arial" w:hAnsi="Arial" w:cs="Arial"/>
          <w:bCs/>
          <w:szCs w:val="24"/>
        </w:rPr>
        <w:t>46.7 million</w:t>
      </w:r>
      <w:r w:rsidR="00B35D9E">
        <w:rPr>
          <w:rFonts w:ascii="Arial" w:hAnsi="Arial" w:cs="Arial"/>
          <w:bCs/>
          <w:szCs w:val="24"/>
        </w:rPr>
        <w:t xml:space="preserve"> proposed </w:t>
      </w:r>
      <w:r w:rsidR="00074868">
        <w:rPr>
          <w:rFonts w:ascii="Arial" w:hAnsi="Arial" w:cs="Arial"/>
          <w:bCs/>
          <w:szCs w:val="24"/>
        </w:rPr>
        <w:t xml:space="preserve">during 2023-2024 </w:t>
      </w:r>
      <w:r w:rsidR="00B35D9E">
        <w:rPr>
          <w:rFonts w:ascii="Arial" w:hAnsi="Arial" w:cs="Arial"/>
          <w:bCs/>
          <w:szCs w:val="24"/>
        </w:rPr>
        <w:t>for new or updated transit technology projects, including:</w:t>
      </w:r>
    </w:p>
    <w:p w14:paraId="6C746C59" w14:textId="77777777" w:rsidR="005F714D" w:rsidRPr="00502C56" w:rsidRDefault="005F714D" w:rsidP="005F714D">
      <w:pPr>
        <w:spacing w:line="264" w:lineRule="auto"/>
        <w:contextualSpacing/>
        <w:jc w:val="both"/>
        <w:rPr>
          <w:rFonts w:ascii="Arial" w:hAnsi="Arial" w:cs="Arial"/>
          <w:bCs/>
          <w:szCs w:val="24"/>
        </w:rPr>
      </w:pPr>
    </w:p>
    <w:p w14:paraId="496D7503" w14:textId="0FA342AF" w:rsidR="005F714D" w:rsidRPr="0010268F" w:rsidRDefault="00E4418B" w:rsidP="005F714D">
      <w:pPr>
        <w:pStyle w:val="ListParagraph"/>
        <w:numPr>
          <w:ilvl w:val="0"/>
          <w:numId w:val="8"/>
        </w:numPr>
        <w:spacing w:line="264" w:lineRule="auto"/>
        <w:jc w:val="both"/>
        <w:rPr>
          <w:rFonts w:ascii="Arial" w:hAnsi="Arial" w:cs="Arial"/>
          <w:bCs/>
          <w:szCs w:val="24"/>
        </w:rPr>
      </w:pPr>
      <w:r w:rsidRPr="0010268F">
        <w:rPr>
          <w:rFonts w:ascii="Arial" w:hAnsi="Arial" w:cs="Arial"/>
          <w:b/>
          <w:szCs w:val="24"/>
        </w:rPr>
        <w:t xml:space="preserve">Customer </w:t>
      </w:r>
      <w:r w:rsidR="00882EED">
        <w:rPr>
          <w:rFonts w:ascii="Arial" w:hAnsi="Arial" w:cs="Arial"/>
          <w:b/>
          <w:szCs w:val="24"/>
        </w:rPr>
        <w:t>payment enhancements</w:t>
      </w:r>
      <w:r w:rsidR="005F714D" w:rsidRPr="0010268F">
        <w:rPr>
          <w:rFonts w:ascii="Arial" w:hAnsi="Arial" w:cs="Arial"/>
          <w:b/>
          <w:szCs w:val="24"/>
        </w:rPr>
        <w:t>:</w:t>
      </w:r>
      <w:r w:rsidR="005F714D" w:rsidRPr="0010268F">
        <w:rPr>
          <w:rFonts w:ascii="Arial" w:hAnsi="Arial" w:cs="Arial"/>
          <w:bCs/>
          <w:szCs w:val="24"/>
        </w:rPr>
        <w:t xml:space="preserve"> $</w:t>
      </w:r>
      <w:r w:rsidR="00E02FF0" w:rsidRPr="0010268F">
        <w:rPr>
          <w:rFonts w:ascii="Arial" w:hAnsi="Arial" w:cs="Arial"/>
          <w:bCs/>
          <w:szCs w:val="24"/>
        </w:rPr>
        <w:t>1.2</w:t>
      </w:r>
      <w:r w:rsidR="005F714D" w:rsidRPr="0010268F">
        <w:rPr>
          <w:rFonts w:ascii="Arial" w:hAnsi="Arial" w:cs="Arial"/>
          <w:bCs/>
          <w:szCs w:val="24"/>
        </w:rPr>
        <w:t xml:space="preserve"> million to </w:t>
      </w:r>
      <w:r w:rsidR="00E02FF0" w:rsidRPr="0010268F">
        <w:rPr>
          <w:rFonts w:ascii="Arial" w:hAnsi="Arial" w:cs="Arial"/>
          <w:bCs/>
          <w:szCs w:val="24"/>
        </w:rPr>
        <w:t xml:space="preserve">develop a new online eligibility portal for Access paratransit </w:t>
      </w:r>
      <w:r w:rsidR="006B7839" w:rsidRPr="0010268F">
        <w:rPr>
          <w:rFonts w:ascii="Arial" w:hAnsi="Arial" w:cs="Arial"/>
          <w:bCs/>
          <w:szCs w:val="24"/>
        </w:rPr>
        <w:t>applicants</w:t>
      </w:r>
      <w:r w:rsidR="00E02FF0" w:rsidRPr="0010268F">
        <w:rPr>
          <w:rFonts w:ascii="Arial" w:hAnsi="Arial" w:cs="Arial"/>
          <w:bCs/>
          <w:szCs w:val="24"/>
        </w:rPr>
        <w:t xml:space="preserve"> that is aligned with the existing </w:t>
      </w:r>
      <w:r w:rsidR="00882EED">
        <w:rPr>
          <w:rFonts w:ascii="Arial" w:hAnsi="Arial" w:cs="Arial"/>
          <w:bCs/>
          <w:szCs w:val="24"/>
        </w:rPr>
        <w:t>r</w:t>
      </w:r>
      <w:r w:rsidR="00E02FF0" w:rsidRPr="0010268F">
        <w:rPr>
          <w:rFonts w:ascii="Arial" w:hAnsi="Arial" w:cs="Arial"/>
          <w:bCs/>
          <w:szCs w:val="24"/>
        </w:rPr>
        <w:t xml:space="preserve">educed </w:t>
      </w:r>
      <w:r w:rsidR="00882EED">
        <w:rPr>
          <w:rFonts w:ascii="Arial" w:hAnsi="Arial" w:cs="Arial"/>
          <w:bCs/>
          <w:szCs w:val="24"/>
        </w:rPr>
        <w:t>f</w:t>
      </w:r>
      <w:r w:rsidR="00E02FF0" w:rsidRPr="0010268F">
        <w:rPr>
          <w:rFonts w:ascii="Arial" w:hAnsi="Arial" w:cs="Arial"/>
          <w:bCs/>
          <w:szCs w:val="24"/>
        </w:rPr>
        <w:t xml:space="preserve">are </w:t>
      </w:r>
      <w:r w:rsidR="00882EED">
        <w:rPr>
          <w:rFonts w:ascii="Arial" w:hAnsi="Arial" w:cs="Arial"/>
          <w:bCs/>
          <w:szCs w:val="24"/>
        </w:rPr>
        <w:t>p</w:t>
      </w:r>
      <w:r w:rsidR="00E02FF0" w:rsidRPr="0010268F">
        <w:rPr>
          <w:rFonts w:ascii="Arial" w:hAnsi="Arial" w:cs="Arial"/>
          <w:bCs/>
          <w:szCs w:val="24"/>
        </w:rPr>
        <w:t>ortal</w:t>
      </w:r>
      <w:r w:rsidR="00882EED">
        <w:rPr>
          <w:rFonts w:ascii="Arial" w:hAnsi="Arial" w:cs="Arial"/>
          <w:bCs/>
          <w:szCs w:val="24"/>
        </w:rPr>
        <w:t xml:space="preserve">, and </w:t>
      </w:r>
      <w:r w:rsidR="00341364">
        <w:rPr>
          <w:rFonts w:ascii="Arial" w:hAnsi="Arial" w:cs="Arial"/>
          <w:bCs/>
          <w:szCs w:val="24"/>
        </w:rPr>
        <w:t>$5.4 million for enhancements to the New ORCA system to enhance customer payment options</w:t>
      </w:r>
      <w:r w:rsidR="00E02FF0" w:rsidRPr="0010268F">
        <w:rPr>
          <w:rFonts w:ascii="Arial" w:hAnsi="Arial" w:cs="Arial"/>
          <w:bCs/>
          <w:szCs w:val="24"/>
        </w:rPr>
        <w:t>.</w:t>
      </w:r>
      <w:r w:rsidR="005F714D" w:rsidRPr="0010268F">
        <w:rPr>
          <w:rFonts w:ascii="Arial" w:hAnsi="Arial" w:cs="Arial"/>
          <w:bCs/>
          <w:szCs w:val="24"/>
        </w:rPr>
        <w:t xml:space="preserve"> </w:t>
      </w:r>
    </w:p>
    <w:p w14:paraId="072ED679" w14:textId="77777777" w:rsidR="005F714D" w:rsidRPr="0010268F" w:rsidRDefault="005F714D" w:rsidP="005F714D">
      <w:pPr>
        <w:spacing w:line="264" w:lineRule="auto"/>
        <w:ind w:left="360"/>
        <w:jc w:val="both"/>
        <w:rPr>
          <w:rFonts w:ascii="Arial" w:hAnsi="Arial" w:cs="Arial"/>
          <w:bCs/>
          <w:szCs w:val="24"/>
        </w:rPr>
      </w:pPr>
    </w:p>
    <w:p w14:paraId="2AE6A664" w14:textId="4BE9BF7C" w:rsidR="005F714D" w:rsidRPr="0010268F" w:rsidRDefault="00392922" w:rsidP="005F714D">
      <w:pPr>
        <w:pStyle w:val="ListParagraph"/>
        <w:numPr>
          <w:ilvl w:val="0"/>
          <w:numId w:val="8"/>
        </w:numPr>
        <w:spacing w:line="264" w:lineRule="auto"/>
        <w:jc w:val="both"/>
        <w:rPr>
          <w:rFonts w:ascii="Arial" w:hAnsi="Arial" w:cs="Arial"/>
          <w:bCs/>
          <w:szCs w:val="24"/>
        </w:rPr>
      </w:pPr>
      <w:r>
        <w:rPr>
          <w:rFonts w:ascii="Arial" w:hAnsi="Arial" w:cs="Arial"/>
          <w:b/>
          <w:szCs w:val="24"/>
        </w:rPr>
        <w:t>Improved reliability</w:t>
      </w:r>
      <w:r w:rsidR="005F714D" w:rsidRPr="0010268F">
        <w:rPr>
          <w:rFonts w:ascii="Arial" w:hAnsi="Arial" w:cs="Arial"/>
          <w:b/>
          <w:szCs w:val="24"/>
        </w:rPr>
        <w:t xml:space="preserve">: </w:t>
      </w:r>
      <w:r w:rsidR="005F714D" w:rsidRPr="0010268F">
        <w:rPr>
          <w:rFonts w:ascii="Arial" w:hAnsi="Arial" w:cs="Arial"/>
          <w:bCs/>
          <w:szCs w:val="24"/>
        </w:rPr>
        <w:t>$</w:t>
      </w:r>
      <w:r w:rsidR="000258E5" w:rsidRPr="0010268F">
        <w:rPr>
          <w:rFonts w:ascii="Arial" w:hAnsi="Arial" w:cs="Arial"/>
          <w:bCs/>
          <w:szCs w:val="24"/>
        </w:rPr>
        <w:t>4</w:t>
      </w:r>
      <w:r w:rsidR="005F714D" w:rsidRPr="0010268F">
        <w:rPr>
          <w:rFonts w:ascii="Arial" w:hAnsi="Arial" w:cs="Arial"/>
          <w:bCs/>
          <w:szCs w:val="24"/>
        </w:rPr>
        <w:t>.</w:t>
      </w:r>
      <w:r w:rsidR="000258E5" w:rsidRPr="0010268F">
        <w:rPr>
          <w:rFonts w:ascii="Arial" w:hAnsi="Arial" w:cs="Arial"/>
          <w:bCs/>
          <w:szCs w:val="24"/>
        </w:rPr>
        <w:t>8</w:t>
      </w:r>
      <w:r w:rsidR="005F714D" w:rsidRPr="0010268F">
        <w:rPr>
          <w:rFonts w:ascii="Arial" w:hAnsi="Arial" w:cs="Arial"/>
          <w:bCs/>
          <w:szCs w:val="24"/>
        </w:rPr>
        <w:t xml:space="preserve"> </w:t>
      </w:r>
      <w:r w:rsidR="002E2006" w:rsidRPr="0010268F">
        <w:rPr>
          <w:rFonts w:ascii="Arial" w:hAnsi="Arial" w:cs="Arial"/>
          <w:bCs/>
          <w:szCs w:val="24"/>
        </w:rPr>
        <w:t>to facilitate active headway management, which manages how coaches are deployed to avoid bus bunching and promote greater reliability for passengers</w:t>
      </w:r>
      <w:r w:rsidR="005F714D" w:rsidRPr="0010268F">
        <w:rPr>
          <w:rFonts w:ascii="Arial" w:hAnsi="Arial" w:cs="Arial"/>
          <w:bCs/>
          <w:szCs w:val="24"/>
        </w:rPr>
        <w:t>.</w:t>
      </w:r>
    </w:p>
    <w:p w14:paraId="6D8A1A46" w14:textId="77777777" w:rsidR="005F714D" w:rsidRPr="0010268F" w:rsidRDefault="005F714D" w:rsidP="005F714D">
      <w:pPr>
        <w:pStyle w:val="ListParagraph"/>
        <w:rPr>
          <w:rFonts w:ascii="Arial" w:hAnsi="Arial" w:cs="Arial"/>
          <w:bCs/>
          <w:szCs w:val="24"/>
        </w:rPr>
      </w:pPr>
    </w:p>
    <w:p w14:paraId="063EED6C" w14:textId="7D8E4463" w:rsidR="005F714D" w:rsidRPr="0010268F" w:rsidRDefault="005F714D" w:rsidP="005F714D">
      <w:pPr>
        <w:pStyle w:val="ListParagraph"/>
        <w:numPr>
          <w:ilvl w:val="0"/>
          <w:numId w:val="8"/>
        </w:numPr>
        <w:spacing w:line="264" w:lineRule="auto"/>
        <w:jc w:val="both"/>
        <w:rPr>
          <w:rFonts w:ascii="Arial" w:hAnsi="Arial" w:cs="Arial"/>
          <w:bCs/>
          <w:szCs w:val="24"/>
        </w:rPr>
      </w:pPr>
      <w:r w:rsidRPr="0010268F">
        <w:rPr>
          <w:rFonts w:ascii="Arial" w:hAnsi="Arial" w:cs="Arial"/>
          <w:b/>
          <w:szCs w:val="24"/>
        </w:rPr>
        <w:t xml:space="preserve">Video </w:t>
      </w:r>
      <w:r w:rsidR="001E7073">
        <w:rPr>
          <w:rFonts w:ascii="Arial" w:hAnsi="Arial" w:cs="Arial"/>
          <w:b/>
          <w:szCs w:val="24"/>
        </w:rPr>
        <w:t>m</w:t>
      </w:r>
      <w:r w:rsidRPr="0010268F">
        <w:rPr>
          <w:rFonts w:ascii="Arial" w:hAnsi="Arial" w:cs="Arial"/>
          <w:b/>
          <w:szCs w:val="24"/>
        </w:rPr>
        <w:t xml:space="preserve">anagement </w:t>
      </w:r>
      <w:r w:rsidR="001E7073">
        <w:rPr>
          <w:rFonts w:ascii="Arial" w:hAnsi="Arial" w:cs="Arial"/>
          <w:b/>
          <w:szCs w:val="24"/>
        </w:rPr>
        <w:t>s</w:t>
      </w:r>
      <w:r w:rsidRPr="0010268F">
        <w:rPr>
          <w:rFonts w:ascii="Arial" w:hAnsi="Arial" w:cs="Arial"/>
          <w:b/>
          <w:szCs w:val="24"/>
        </w:rPr>
        <w:t>ystem:</w:t>
      </w:r>
      <w:r w:rsidRPr="0010268F">
        <w:rPr>
          <w:rFonts w:ascii="Arial" w:hAnsi="Arial" w:cs="Arial"/>
          <w:bCs/>
          <w:szCs w:val="24"/>
        </w:rPr>
        <w:t xml:space="preserve"> $11.</w:t>
      </w:r>
      <w:r w:rsidR="0036509A" w:rsidRPr="0010268F">
        <w:rPr>
          <w:rFonts w:ascii="Arial" w:hAnsi="Arial" w:cs="Arial"/>
          <w:bCs/>
          <w:szCs w:val="24"/>
        </w:rPr>
        <w:t>5</w:t>
      </w:r>
      <w:r w:rsidRPr="0010268F">
        <w:rPr>
          <w:rFonts w:ascii="Arial" w:hAnsi="Arial" w:cs="Arial"/>
          <w:bCs/>
          <w:szCs w:val="24"/>
        </w:rPr>
        <w:t xml:space="preserve"> million to install an automated, cloud-based system for identifying, labelling, and distributing requested video segments from Metro’s existing on-board camera systems.</w:t>
      </w:r>
      <w:r w:rsidRPr="0010268F">
        <w:rPr>
          <w:rStyle w:val="FootnoteReference"/>
          <w:rFonts w:ascii="Arial" w:hAnsi="Arial" w:cs="Arial"/>
          <w:bCs/>
          <w:szCs w:val="24"/>
        </w:rPr>
        <w:footnoteReference w:id="39"/>
      </w:r>
    </w:p>
    <w:p w14:paraId="3726E9E1" w14:textId="77777777" w:rsidR="005F714D" w:rsidRPr="0010268F" w:rsidRDefault="005F714D" w:rsidP="005F714D">
      <w:pPr>
        <w:pStyle w:val="ListParagraph"/>
        <w:rPr>
          <w:rFonts w:ascii="Arial" w:hAnsi="Arial" w:cs="Arial"/>
          <w:bCs/>
          <w:szCs w:val="24"/>
        </w:rPr>
      </w:pPr>
    </w:p>
    <w:p w14:paraId="644C7361" w14:textId="1CF1495B" w:rsidR="000638F7" w:rsidRPr="0010268F" w:rsidRDefault="00FD25A4" w:rsidP="005F714D">
      <w:pPr>
        <w:pStyle w:val="ListParagraph"/>
        <w:numPr>
          <w:ilvl w:val="0"/>
          <w:numId w:val="8"/>
        </w:numPr>
        <w:spacing w:line="264" w:lineRule="auto"/>
        <w:jc w:val="both"/>
        <w:rPr>
          <w:rFonts w:ascii="Arial" w:hAnsi="Arial" w:cs="Arial"/>
          <w:bCs/>
          <w:szCs w:val="24"/>
        </w:rPr>
      </w:pPr>
      <w:r w:rsidRPr="0010268F">
        <w:rPr>
          <w:rFonts w:ascii="Arial" w:hAnsi="Arial" w:cs="Arial"/>
          <w:b/>
          <w:szCs w:val="24"/>
        </w:rPr>
        <w:t xml:space="preserve">Safety and </w:t>
      </w:r>
      <w:r w:rsidR="001E7073">
        <w:rPr>
          <w:rFonts w:ascii="Arial" w:hAnsi="Arial" w:cs="Arial"/>
          <w:b/>
          <w:szCs w:val="24"/>
        </w:rPr>
        <w:t>s</w:t>
      </w:r>
      <w:r w:rsidR="000638F7" w:rsidRPr="0010268F">
        <w:rPr>
          <w:rFonts w:ascii="Arial" w:hAnsi="Arial" w:cs="Arial"/>
          <w:b/>
          <w:szCs w:val="24"/>
        </w:rPr>
        <w:t xml:space="preserve">ecurity </w:t>
      </w:r>
      <w:r w:rsidR="001E7073">
        <w:rPr>
          <w:rFonts w:ascii="Arial" w:hAnsi="Arial" w:cs="Arial"/>
          <w:b/>
          <w:szCs w:val="24"/>
        </w:rPr>
        <w:t>i</w:t>
      </w:r>
      <w:r w:rsidR="000638F7" w:rsidRPr="0010268F">
        <w:rPr>
          <w:rFonts w:ascii="Arial" w:hAnsi="Arial" w:cs="Arial"/>
          <w:b/>
          <w:szCs w:val="24"/>
        </w:rPr>
        <w:t>mprovements</w:t>
      </w:r>
      <w:r w:rsidR="000638F7">
        <w:rPr>
          <w:rFonts w:ascii="Arial" w:hAnsi="Arial" w:cs="Arial"/>
          <w:b/>
          <w:szCs w:val="24"/>
        </w:rPr>
        <w:t xml:space="preserve">: </w:t>
      </w:r>
      <w:r w:rsidRPr="0010268F">
        <w:rPr>
          <w:rFonts w:ascii="Arial" w:hAnsi="Arial" w:cs="Arial"/>
          <w:bCs/>
          <w:szCs w:val="24"/>
        </w:rPr>
        <w:t xml:space="preserve">$6 million for a system that will log pre-trip inspection data to ensure regulatory compliance and </w:t>
      </w:r>
      <w:r w:rsidR="0010268F" w:rsidRPr="0010268F">
        <w:rPr>
          <w:rFonts w:ascii="Arial" w:hAnsi="Arial" w:cs="Arial"/>
          <w:bCs/>
          <w:szCs w:val="24"/>
        </w:rPr>
        <w:t>automatically generate vehicle maintenance work orders, and $2.4 million to upgrade existing facility security infrastructure, including video monitoring, alarm systems, and employee access management.</w:t>
      </w:r>
    </w:p>
    <w:p w14:paraId="63F33A2F" w14:textId="77777777" w:rsidR="000638F7" w:rsidRPr="000638F7" w:rsidRDefault="000638F7" w:rsidP="000638F7">
      <w:pPr>
        <w:pStyle w:val="ListParagraph"/>
        <w:rPr>
          <w:rFonts w:ascii="Arial" w:hAnsi="Arial" w:cs="Arial"/>
          <w:b/>
          <w:szCs w:val="24"/>
        </w:rPr>
      </w:pPr>
    </w:p>
    <w:p w14:paraId="6AE72591" w14:textId="566740E1" w:rsidR="005F714D" w:rsidRDefault="0010268F" w:rsidP="005F714D">
      <w:pPr>
        <w:pStyle w:val="ListParagraph"/>
        <w:numPr>
          <w:ilvl w:val="0"/>
          <w:numId w:val="8"/>
        </w:numPr>
        <w:spacing w:line="264" w:lineRule="auto"/>
        <w:jc w:val="both"/>
        <w:rPr>
          <w:rFonts w:ascii="Arial" w:hAnsi="Arial" w:cs="Arial"/>
          <w:bCs/>
          <w:szCs w:val="24"/>
        </w:rPr>
      </w:pPr>
      <w:r>
        <w:rPr>
          <w:rFonts w:ascii="Arial" w:hAnsi="Arial" w:cs="Arial"/>
          <w:b/>
          <w:szCs w:val="24"/>
        </w:rPr>
        <w:t xml:space="preserve">Equal Employment Opportunity </w:t>
      </w:r>
      <w:r w:rsidR="001E7073">
        <w:rPr>
          <w:rFonts w:ascii="Arial" w:hAnsi="Arial" w:cs="Arial"/>
          <w:b/>
          <w:szCs w:val="24"/>
        </w:rPr>
        <w:t>c</w:t>
      </w:r>
      <w:r>
        <w:rPr>
          <w:rFonts w:ascii="Arial" w:hAnsi="Arial" w:cs="Arial"/>
          <w:b/>
          <w:szCs w:val="24"/>
        </w:rPr>
        <w:t xml:space="preserve">ase </w:t>
      </w:r>
      <w:r w:rsidR="001E7073">
        <w:rPr>
          <w:rFonts w:ascii="Arial" w:hAnsi="Arial" w:cs="Arial"/>
          <w:b/>
          <w:szCs w:val="24"/>
        </w:rPr>
        <w:t>m</w:t>
      </w:r>
      <w:r>
        <w:rPr>
          <w:rFonts w:ascii="Arial" w:hAnsi="Arial" w:cs="Arial"/>
          <w:b/>
          <w:szCs w:val="24"/>
        </w:rPr>
        <w:t>anagement</w:t>
      </w:r>
      <w:r w:rsidR="005F714D" w:rsidRPr="00502C56">
        <w:rPr>
          <w:rFonts w:ascii="Arial" w:hAnsi="Arial" w:cs="Arial"/>
          <w:b/>
          <w:szCs w:val="24"/>
        </w:rPr>
        <w:t>:</w:t>
      </w:r>
      <w:r w:rsidR="005F714D" w:rsidRPr="00502C56">
        <w:rPr>
          <w:rFonts w:ascii="Arial" w:hAnsi="Arial" w:cs="Arial"/>
          <w:bCs/>
          <w:szCs w:val="24"/>
        </w:rPr>
        <w:t xml:space="preserve"> $1.2 million to develop a technology solution to </w:t>
      </w:r>
      <w:r w:rsidR="003F5CFD">
        <w:rPr>
          <w:rFonts w:ascii="Arial" w:hAnsi="Arial" w:cs="Arial"/>
          <w:bCs/>
          <w:szCs w:val="24"/>
        </w:rPr>
        <w:t>monitor investigative cases and track trends in workplace discrimination complaints.</w:t>
      </w:r>
      <w:r w:rsidR="005F714D" w:rsidRPr="00502C56">
        <w:rPr>
          <w:rFonts w:ascii="Arial" w:hAnsi="Arial" w:cs="Arial"/>
          <w:bCs/>
          <w:szCs w:val="24"/>
        </w:rPr>
        <w:t xml:space="preserve"> </w:t>
      </w:r>
    </w:p>
    <w:p w14:paraId="55B94378" w14:textId="77777777" w:rsidR="00341364" w:rsidRPr="00341364" w:rsidRDefault="00341364" w:rsidP="00341364">
      <w:pPr>
        <w:pStyle w:val="ListParagraph"/>
        <w:rPr>
          <w:rFonts w:ascii="Arial" w:hAnsi="Arial" w:cs="Arial"/>
          <w:bCs/>
          <w:szCs w:val="24"/>
        </w:rPr>
      </w:pPr>
    </w:p>
    <w:p w14:paraId="4B389BAE" w14:textId="010FBD0D" w:rsidR="00341364" w:rsidRPr="00502C56" w:rsidRDefault="001E7073" w:rsidP="005F714D">
      <w:pPr>
        <w:pStyle w:val="ListParagraph"/>
        <w:numPr>
          <w:ilvl w:val="0"/>
          <w:numId w:val="8"/>
        </w:numPr>
        <w:spacing w:line="264" w:lineRule="auto"/>
        <w:jc w:val="both"/>
        <w:rPr>
          <w:rFonts w:ascii="Arial" w:hAnsi="Arial" w:cs="Arial"/>
          <w:bCs/>
          <w:szCs w:val="24"/>
        </w:rPr>
      </w:pPr>
      <w:r>
        <w:rPr>
          <w:rFonts w:ascii="Arial" w:hAnsi="Arial" w:cs="Arial"/>
          <w:b/>
          <w:szCs w:val="24"/>
        </w:rPr>
        <w:t>Support for</w:t>
      </w:r>
      <w:r w:rsidR="00341364" w:rsidRPr="001E7073">
        <w:rPr>
          <w:rFonts w:ascii="Arial" w:hAnsi="Arial" w:cs="Arial"/>
          <w:b/>
          <w:szCs w:val="24"/>
        </w:rPr>
        <w:t xml:space="preserve"> electrification:</w:t>
      </w:r>
      <w:r w:rsidR="00341364">
        <w:rPr>
          <w:rFonts w:ascii="Arial" w:hAnsi="Arial" w:cs="Arial"/>
          <w:bCs/>
          <w:szCs w:val="24"/>
        </w:rPr>
        <w:t xml:space="preserve"> $2.4 million for a system to monitor and gather data on </w:t>
      </w:r>
      <w:r>
        <w:rPr>
          <w:rFonts w:ascii="Arial" w:hAnsi="Arial" w:cs="Arial"/>
          <w:bCs/>
          <w:szCs w:val="24"/>
        </w:rPr>
        <w:t>the zero-emission revenue fleet, and $4.8 million for software to coordinate battery-electric bus charging and dispatching.</w:t>
      </w:r>
    </w:p>
    <w:p w14:paraId="28A67650" w14:textId="1515A911" w:rsidR="00DD47E0" w:rsidRPr="00FA1336" w:rsidRDefault="00DD47E0" w:rsidP="00E43E8F">
      <w:pPr>
        <w:spacing w:line="264" w:lineRule="auto"/>
        <w:contextualSpacing/>
        <w:jc w:val="both"/>
        <w:rPr>
          <w:rFonts w:ascii="Arial" w:hAnsi="Arial" w:cs="Arial"/>
          <w:bCs/>
          <w:szCs w:val="24"/>
        </w:rPr>
      </w:pPr>
    </w:p>
    <w:p w14:paraId="3DA733C3" w14:textId="5ADEC478" w:rsidR="005C2E8B" w:rsidRPr="00B2433E" w:rsidRDefault="00547964" w:rsidP="008156D8">
      <w:pPr>
        <w:spacing w:line="264" w:lineRule="auto"/>
        <w:contextualSpacing/>
        <w:jc w:val="center"/>
        <w:rPr>
          <w:rFonts w:ascii="Arial" w:hAnsi="Arial" w:cs="Arial"/>
          <w:b/>
          <w:smallCaps/>
          <w:szCs w:val="24"/>
          <w:u w:val="single"/>
        </w:rPr>
      </w:pPr>
      <w:r>
        <w:rPr>
          <w:rFonts w:ascii="Arial" w:hAnsi="Arial" w:cs="Arial"/>
          <w:b/>
          <w:smallCaps/>
          <w:szCs w:val="24"/>
          <w:u w:val="single"/>
        </w:rPr>
        <w:t xml:space="preserve">Key </w:t>
      </w:r>
      <w:r w:rsidR="008156D8">
        <w:rPr>
          <w:rFonts w:ascii="Arial" w:hAnsi="Arial" w:cs="Arial"/>
          <w:b/>
          <w:smallCaps/>
          <w:szCs w:val="24"/>
          <w:u w:val="single"/>
        </w:rPr>
        <w:t>Issues</w:t>
      </w:r>
    </w:p>
    <w:p w14:paraId="5279866C" w14:textId="4E55A140" w:rsidR="005C2E8B" w:rsidRDefault="005C2E8B" w:rsidP="008A5CF4">
      <w:pPr>
        <w:spacing w:line="264" w:lineRule="auto"/>
        <w:contextualSpacing/>
        <w:jc w:val="center"/>
        <w:rPr>
          <w:rFonts w:ascii="Arial" w:hAnsi="Arial" w:cs="Arial"/>
          <w:szCs w:val="24"/>
        </w:rPr>
      </w:pPr>
    </w:p>
    <w:p w14:paraId="1B26BB1F" w14:textId="774B9372" w:rsidR="005C2E8B" w:rsidRPr="00B2433E" w:rsidRDefault="005C2E8B" w:rsidP="007C4FD0">
      <w:pPr>
        <w:keepNext/>
        <w:spacing w:line="264" w:lineRule="auto"/>
        <w:contextualSpacing/>
        <w:jc w:val="both"/>
        <w:rPr>
          <w:rFonts w:ascii="Arial" w:hAnsi="Arial" w:cs="Arial"/>
          <w:b/>
          <w:smallCaps/>
          <w:szCs w:val="24"/>
          <w:u w:val="single"/>
        </w:rPr>
      </w:pPr>
      <w:r w:rsidRPr="00B2433E">
        <w:rPr>
          <w:rFonts w:ascii="Arial" w:hAnsi="Arial" w:cs="Arial"/>
          <w:b/>
          <w:smallCaps/>
          <w:szCs w:val="24"/>
          <w:u w:val="single"/>
        </w:rPr>
        <w:t>Issue 1 –</w:t>
      </w:r>
      <w:r w:rsidRPr="005570AE">
        <w:rPr>
          <w:rFonts w:ascii="Arial" w:hAnsi="Arial" w:cs="Arial"/>
          <w:b/>
          <w:smallCaps/>
          <w:szCs w:val="24"/>
          <w:u w:val="single"/>
        </w:rPr>
        <w:t xml:space="preserve"> </w:t>
      </w:r>
      <w:r w:rsidR="0037015D">
        <w:rPr>
          <w:rFonts w:ascii="Arial" w:hAnsi="Arial" w:cs="Arial"/>
          <w:b/>
          <w:smallCaps/>
          <w:szCs w:val="24"/>
          <w:u w:val="single"/>
        </w:rPr>
        <w:t xml:space="preserve">Service </w:t>
      </w:r>
      <w:r w:rsidR="008C7160">
        <w:rPr>
          <w:rFonts w:ascii="Arial" w:hAnsi="Arial" w:cs="Arial"/>
          <w:b/>
          <w:smallCaps/>
          <w:szCs w:val="24"/>
          <w:u w:val="single"/>
        </w:rPr>
        <w:t xml:space="preserve">Restoration </w:t>
      </w:r>
      <w:r w:rsidR="0037015D">
        <w:rPr>
          <w:rFonts w:ascii="Arial" w:hAnsi="Arial" w:cs="Arial"/>
          <w:b/>
          <w:smallCaps/>
          <w:szCs w:val="24"/>
          <w:u w:val="single"/>
        </w:rPr>
        <w:t>and Ridership Recovery</w:t>
      </w:r>
    </w:p>
    <w:p w14:paraId="37E55E97" w14:textId="7D908FDE" w:rsidR="005C2E8B" w:rsidRDefault="005C2E8B" w:rsidP="007C4FD0">
      <w:pPr>
        <w:keepNext/>
        <w:spacing w:line="264" w:lineRule="auto"/>
        <w:contextualSpacing/>
        <w:jc w:val="both"/>
        <w:rPr>
          <w:rFonts w:ascii="Arial" w:hAnsi="Arial" w:cs="Arial"/>
          <w:szCs w:val="24"/>
        </w:rPr>
      </w:pPr>
    </w:p>
    <w:p w14:paraId="207062B6" w14:textId="0A252A0A" w:rsidR="001F7194" w:rsidRDefault="0093261A" w:rsidP="008A5CF4">
      <w:pPr>
        <w:spacing w:line="264" w:lineRule="auto"/>
        <w:contextualSpacing/>
        <w:jc w:val="both"/>
        <w:rPr>
          <w:rFonts w:ascii="Arial" w:hAnsi="Arial" w:cs="Arial"/>
          <w:szCs w:val="24"/>
        </w:rPr>
      </w:pPr>
      <w:r>
        <w:rPr>
          <w:rFonts w:ascii="Arial" w:hAnsi="Arial" w:cs="Arial"/>
          <w:szCs w:val="24"/>
        </w:rPr>
        <w:t xml:space="preserve">Metro is currently operating approximately 90 percent of pre-pandemic service levels with 50 percent of pre-pandemic ridership. </w:t>
      </w:r>
      <w:r w:rsidR="00785345">
        <w:rPr>
          <w:rFonts w:ascii="Arial" w:hAnsi="Arial" w:cs="Arial"/>
          <w:szCs w:val="24"/>
        </w:rPr>
        <w:t xml:space="preserve">As a result, farebox recovery levels are anticipated to </w:t>
      </w:r>
      <w:r w:rsidR="001A6DBF">
        <w:rPr>
          <w:rFonts w:ascii="Arial" w:hAnsi="Arial" w:cs="Arial"/>
          <w:szCs w:val="24"/>
        </w:rPr>
        <w:t xml:space="preserve">remain </w:t>
      </w:r>
      <w:r w:rsidR="00785345">
        <w:rPr>
          <w:rFonts w:ascii="Arial" w:hAnsi="Arial" w:cs="Arial"/>
          <w:szCs w:val="24"/>
        </w:rPr>
        <w:t>well below the required 25 percent (7.7 percent in 2023 and 9.4 percent in 2024)</w:t>
      </w:r>
      <w:r w:rsidR="002E65A0">
        <w:rPr>
          <w:rFonts w:ascii="Arial" w:hAnsi="Arial" w:cs="Arial"/>
          <w:szCs w:val="24"/>
        </w:rPr>
        <w:t xml:space="preserve">, meaning that other sources of revenue </w:t>
      </w:r>
      <w:r w:rsidR="00324BFC">
        <w:rPr>
          <w:rFonts w:ascii="Arial" w:hAnsi="Arial" w:cs="Arial"/>
          <w:szCs w:val="24"/>
        </w:rPr>
        <w:t>must cover a higher share of Metro’s operating costs</w:t>
      </w:r>
      <w:r w:rsidR="00785345">
        <w:rPr>
          <w:rFonts w:ascii="Arial" w:hAnsi="Arial" w:cs="Arial"/>
          <w:szCs w:val="24"/>
        </w:rPr>
        <w:t xml:space="preserve">. </w:t>
      </w:r>
    </w:p>
    <w:p w14:paraId="772A6348" w14:textId="77777777" w:rsidR="001F7194" w:rsidRDefault="001F7194" w:rsidP="008A5CF4">
      <w:pPr>
        <w:spacing w:line="264" w:lineRule="auto"/>
        <w:contextualSpacing/>
        <w:jc w:val="both"/>
        <w:rPr>
          <w:rFonts w:ascii="Arial" w:hAnsi="Arial" w:cs="Arial"/>
          <w:szCs w:val="24"/>
        </w:rPr>
      </w:pPr>
    </w:p>
    <w:p w14:paraId="2DEC4018" w14:textId="487FD225" w:rsidR="0093261A" w:rsidRDefault="00F718B8" w:rsidP="008A5CF4">
      <w:pPr>
        <w:spacing w:line="264" w:lineRule="auto"/>
        <w:contextualSpacing/>
        <w:jc w:val="both"/>
        <w:rPr>
          <w:rFonts w:ascii="Arial" w:hAnsi="Arial" w:cs="Arial"/>
          <w:szCs w:val="24"/>
        </w:rPr>
      </w:pPr>
      <w:r>
        <w:rPr>
          <w:rFonts w:ascii="Arial" w:hAnsi="Arial" w:cs="Arial"/>
          <w:szCs w:val="24"/>
        </w:rPr>
        <w:t xml:space="preserve">As this staff report describes, the budget proposes a number of initiatives to </w:t>
      </w:r>
      <w:r w:rsidR="00ED07F1">
        <w:rPr>
          <w:rFonts w:ascii="Arial" w:hAnsi="Arial" w:cs="Arial"/>
          <w:szCs w:val="24"/>
        </w:rPr>
        <w:t xml:space="preserve">increase ridership, and Metro staff note that Metro will be carefully studying </w:t>
      </w:r>
      <w:r w:rsidR="00324BFC">
        <w:rPr>
          <w:rFonts w:ascii="Arial" w:hAnsi="Arial" w:cs="Arial"/>
          <w:szCs w:val="24"/>
        </w:rPr>
        <w:t xml:space="preserve">ridership trends and patterns to assess </w:t>
      </w:r>
      <w:r w:rsidR="002E5E54">
        <w:rPr>
          <w:rFonts w:ascii="Arial" w:hAnsi="Arial" w:cs="Arial"/>
          <w:szCs w:val="24"/>
        </w:rPr>
        <w:t xml:space="preserve">ongoing </w:t>
      </w:r>
      <w:r w:rsidR="00324BFC">
        <w:rPr>
          <w:rFonts w:ascii="Arial" w:hAnsi="Arial" w:cs="Arial"/>
          <w:szCs w:val="24"/>
        </w:rPr>
        <w:t xml:space="preserve">transit service needs. </w:t>
      </w:r>
      <w:r w:rsidR="001F7194">
        <w:rPr>
          <w:rFonts w:ascii="Arial" w:hAnsi="Arial" w:cs="Arial"/>
          <w:szCs w:val="24"/>
        </w:rPr>
        <w:t xml:space="preserve">The </w:t>
      </w:r>
      <w:r w:rsidR="002E5E54">
        <w:rPr>
          <w:rFonts w:ascii="Arial" w:hAnsi="Arial" w:cs="Arial"/>
          <w:szCs w:val="24"/>
        </w:rPr>
        <w:t xml:space="preserve">proposed </w:t>
      </w:r>
      <w:r w:rsidR="001F7194">
        <w:rPr>
          <w:rFonts w:ascii="Arial" w:hAnsi="Arial" w:cs="Arial"/>
          <w:szCs w:val="24"/>
        </w:rPr>
        <w:t xml:space="preserve">budget does not fully </w:t>
      </w:r>
      <w:r w:rsidR="004245E1">
        <w:rPr>
          <w:rFonts w:ascii="Arial" w:hAnsi="Arial" w:cs="Arial"/>
          <w:szCs w:val="24"/>
        </w:rPr>
        <w:t xml:space="preserve">cover </w:t>
      </w:r>
      <w:r w:rsidR="001F7194">
        <w:rPr>
          <w:rFonts w:ascii="Arial" w:hAnsi="Arial" w:cs="Arial"/>
          <w:szCs w:val="24"/>
        </w:rPr>
        <w:t>a return to pre-pandemic service levels, however, and Metro staff have indicated that Metro may seek Council approval</w:t>
      </w:r>
      <w:r w:rsidR="002E5E54">
        <w:rPr>
          <w:rFonts w:ascii="Arial" w:hAnsi="Arial" w:cs="Arial"/>
          <w:szCs w:val="24"/>
        </w:rPr>
        <w:t xml:space="preserve"> at some point during the biennium </w:t>
      </w:r>
      <w:r w:rsidR="001F7194">
        <w:rPr>
          <w:rFonts w:ascii="Arial" w:hAnsi="Arial" w:cs="Arial"/>
          <w:szCs w:val="24"/>
        </w:rPr>
        <w:t xml:space="preserve">to reduce or restructure service in areas in which ridership </w:t>
      </w:r>
      <w:r w:rsidR="008D0B8F">
        <w:rPr>
          <w:rFonts w:ascii="Arial" w:hAnsi="Arial" w:cs="Arial"/>
          <w:szCs w:val="24"/>
        </w:rPr>
        <w:t>patterns</w:t>
      </w:r>
      <w:r w:rsidR="00750477">
        <w:rPr>
          <w:rFonts w:ascii="Arial" w:hAnsi="Arial" w:cs="Arial"/>
          <w:szCs w:val="24"/>
        </w:rPr>
        <w:t xml:space="preserve"> no longer merit pre-pandemic </w:t>
      </w:r>
      <w:r w:rsidR="008D0B8F">
        <w:rPr>
          <w:rFonts w:ascii="Arial" w:hAnsi="Arial" w:cs="Arial"/>
          <w:szCs w:val="24"/>
        </w:rPr>
        <w:t xml:space="preserve">levels of </w:t>
      </w:r>
      <w:r w:rsidR="00B5743C">
        <w:rPr>
          <w:rFonts w:ascii="Arial" w:hAnsi="Arial" w:cs="Arial"/>
          <w:szCs w:val="24"/>
        </w:rPr>
        <w:t xml:space="preserve">service. </w:t>
      </w:r>
      <w:r w:rsidR="006B0170">
        <w:rPr>
          <w:rFonts w:ascii="Arial" w:hAnsi="Arial" w:cs="Arial"/>
          <w:szCs w:val="24"/>
        </w:rPr>
        <w:t xml:space="preserve">Metro </w:t>
      </w:r>
      <w:r w:rsidR="00CF640A">
        <w:rPr>
          <w:rFonts w:ascii="Arial" w:hAnsi="Arial" w:cs="Arial"/>
          <w:szCs w:val="24"/>
        </w:rPr>
        <w:t>staff also note that the farebox recovery requirement may need to be reevaluated as part of the 2025-2026 budget deliberations, following what would have been by then five years of below-target performance.</w:t>
      </w:r>
    </w:p>
    <w:p w14:paraId="1972B8E2" w14:textId="77777777" w:rsidR="0093261A" w:rsidRDefault="0093261A" w:rsidP="008A5CF4">
      <w:pPr>
        <w:spacing w:line="264" w:lineRule="auto"/>
        <w:contextualSpacing/>
        <w:jc w:val="both"/>
        <w:rPr>
          <w:rFonts w:ascii="Arial" w:hAnsi="Arial" w:cs="Arial"/>
          <w:szCs w:val="24"/>
        </w:rPr>
      </w:pPr>
    </w:p>
    <w:p w14:paraId="7865D848" w14:textId="2A38246C" w:rsidR="005C2E8B" w:rsidRPr="00B2433E" w:rsidRDefault="005C2E8B" w:rsidP="007C4FD0">
      <w:pPr>
        <w:keepNext/>
        <w:spacing w:line="264" w:lineRule="auto"/>
        <w:contextualSpacing/>
        <w:jc w:val="both"/>
        <w:rPr>
          <w:rFonts w:ascii="Arial" w:hAnsi="Arial" w:cs="Arial"/>
          <w:b/>
          <w:smallCaps/>
          <w:szCs w:val="24"/>
          <w:u w:val="single"/>
        </w:rPr>
      </w:pPr>
      <w:r w:rsidRPr="00B2433E">
        <w:rPr>
          <w:rFonts w:ascii="Arial" w:hAnsi="Arial" w:cs="Arial"/>
          <w:b/>
          <w:smallCaps/>
          <w:szCs w:val="24"/>
          <w:u w:val="single"/>
        </w:rPr>
        <w:t>Issue 2 –</w:t>
      </w:r>
      <w:r w:rsidRPr="005570AE">
        <w:rPr>
          <w:rFonts w:ascii="Arial" w:hAnsi="Arial" w:cs="Arial"/>
          <w:b/>
          <w:smallCaps/>
          <w:szCs w:val="24"/>
          <w:u w:val="single"/>
        </w:rPr>
        <w:t xml:space="preserve">  </w:t>
      </w:r>
      <w:r w:rsidR="0037015D" w:rsidRPr="0037015D">
        <w:rPr>
          <w:rFonts w:ascii="Arial" w:hAnsi="Arial" w:cs="Arial"/>
          <w:b/>
          <w:smallCaps/>
          <w:szCs w:val="24"/>
          <w:u w:val="single"/>
        </w:rPr>
        <w:t>Workforce recruitment and retention</w:t>
      </w:r>
    </w:p>
    <w:p w14:paraId="76274248" w14:textId="77777777" w:rsidR="005C2E8B" w:rsidRPr="00B2433E" w:rsidRDefault="005C2E8B" w:rsidP="007C4FD0">
      <w:pPr>
        <w:keepNext/>
        <w:spacing w:line="264" w:lineRule="auto"/>
        <w:contextualSpacing/>
        <w:jc w:val="both"/>
        <w:rPr>
          <w:rFonts w:ascii="Arial" w:hAnsi="Arial" w:cs="Arial"/>
          <w:szCs w:val="24"/>
        </w:rPr>
      </w:pPr>
    </w:p>
    <w:p w14:paraId="5B26B55F" w14:textId="6795F77E" w:rsidR="005C2E8B" w:rsidRDefault="004437A0" w:rsidP="008A5CF4">
      <w:pPr>
        <w:spacing w:line="264" w:lineRule="auto"/>
        <w:contextualSpacing/>
        <w:jc w:val="both"/>
        <w:rPr>
          <w:rFonts w:ascii="Arial" w:hAnsi="Arial" w:cs="Arial"/>
          <w:szCs w:val="24"/>
        </w:rPr>
      </w:pPr>
      <w:r>
        <w:rPr>
          <w:rFonts w:ascii="Arial" w:hAnsi="Arial" w:cs="Arial"/>
          <w:szCs w:val="24"/>
        </w:rPr>
        <w:t xml:space="preserve">Metro is currently operating with </w:t>
      </w:r>
      <w:r w:rsidR="003A74C6">
        <w:rPr>
          <w:rFonts w:ascii="Arial" w:hAnsi="Arial" w:cs="Arial"/>
          <w:szCs w:val="24"/>
        </w:rPr>
        <w:t>more than</w:t>
      </w:r>
      <w:r>
        <w:rPr>
          <w:rFonts w:ascii="Arial" w:hAnsi="Arial" w:cs="Arial"/>
          <w:szCs w:val="24"/>
        </w:rPr>
        <w:t xml:space="preserve"> 10 percent of its bus operator positions vacant (269 FTEs vacant out of 2,620 budgeted FTE)</w:t>
      </w:r>
      <w:r w:rsidR="00D3122C">
        <w:rPr>
          <w:rFonts w:ascii="Arial" w:hAnsi="Arial" w:cs="Arial"/>
          <w:szCs w:val="24"/>
        </w:rPr>
        <w:t xml:space="preserve">. This staffing shortfall has prevented Metro from restoring service that was reduced during the pandemic and has even required additional service reductions, most recently </w:t>
      </w:r>
      <w:r w:rsidR="00DC1B78">
        <w:rPr>
          <w:rFonts w:ascii="Arial" w:hAnsi="Arial" w:cs="Arial"/>
          <w:szCs w:val="24"/>
        </w:rPr>
        <w:t>at the September 2022 service change.</w:t>
      </w:r>
    </w:p>
    <w:p w14:paraId="5B487F3B" w14:textId="0745DB18" w:rsidR="00DC1B78" w:rsidRDefault="00DC1B78" w:rsidP="008A5CF4">
      <w:pPr>
        <w:spacing w:line="264" w:lineRule="auto"/>
        <w:contextualSpacing/>
        <w:jc w:val="both"/>
        <w:rPr>
          <w:rFonts w:ascii="Arial" w:hAnsi="Arial" w:cs="Arial"/>
          <w:szCs w:val="24"/>
        </w:rPr>
      </w:pPr>
    </w:p>
    <w:p w14:paraId="1DF2E756" w14:textId="20641786" w:rsidR="00DC1B78" w:rsidRDefault="00DC1B78" w:rsidP="008A5CF4">
      <w:pPr>
        <w:spacing w:line="264" w:lineRule="auto"/>
        <w:contextualSpacing/>
        <w:jc w:val="both"/>
        <w:rPr>
          <w:rFonts w:ascii="Arial" w:hAnsi="Arial" w:cs="Arial"/>
          <w:szCs w:val="24"/>
        </w:rPr>
      </w:pPr>
      <w:r>
        <w:rPr>
          <w:rFonts w:ascii="Arial" w:hAnsi="Arial" w:cs="Arial"/>
          <w:szCs w:val="24"/>
        </w:rPr>
        <w:t xml:space="preserve">As this staff report describes, the budget proposes </w:t>
      </w:r>
      <w:r w:rsidR="00087369">
        <w:rPr>
          <w:rFonts w:ascii="Arial" w:hAnsi="Arial" w:cs="Arial"/>
          <w:szCs w:val="24"/>
        </w:rPr>
        <w:t>several</w:t>
      </w:r>
      <w:r>
        <w:rPr>
          <w:rFonts w:ascii="Arial" w:hAnsi="Arial" w:cs="Arial"/>
          <w:szCs w:val="24"/>
        </w:rPr>
        <w:t xml:space="preserve"> initiatives to streamline recruitment, </w:t>
      </w:r>
      <w:r w:rsidR="00EA0754">
        <w:rPr>
          <w:rFonts w:ascii="Arial" w:hAnsi="Arial" w:cs="Arial"/>
          <w:szCs w:val="24"/>
        </w:rPr>
        <w:t>enhance</w:t>
      </w:r>
      <w:r>
        <w:rPr>
          <w:rFonts w:ascii="Arial" w:hAnsi="Arial" w:cs="Arial"/>
          <w:szCs w:val="24"/>
        </w:rPr>
        <w:t xml:space="preserve"> training and supervision, and promote retention. </w:t>
      </w:r>
      <w:r w:rsidR="00302D1D">
        <w:rPr>
          <w:rFonts w:ascii="Arial" w:hAnsi="Arial" w:cs="Arial"/>
          <w:szCs w:val="24"/>
        </w:rPr>
        <w:t xml:space="preserve">Of note, </w:t>
      </w:r>
      <w:r w:rsidR="00302D1D">
        <w:rPr>
          <w:rFonts w:ascii="Arial" w:hAnsi="Arial" w:cs="Arial"/>
          <w:szCs w:val="24"/>
        </w:rPr>
        <w:lastRenderedPageBreak/>
        <w:t>however, t</w:t>
      </w:r>
      <w:r w:rsidR="00302D1D" w:rsidRPr="00302D1D">
        <w:rPr>
          <w:rFonts w:ascii="Arial" w:hAnsi="Arial" w:cs="Arial"/>
          <w:szCs w:val="24"/>
        </w:rPr>
        <w:t>he current collective bargaining agreement</w:t>
      </w:r>
      <w:r w:rsidR="00796845">
        <w:rPr>
          <w:rStyle w:val="FootnoteReference"/>
          <w:rFonts w:ascii="Arial" w:hAnsi="Arial" w:cs="Arial"/>
          <w:szCs w:val="24"/>
        </w:rPr>
        <w:footnoteReference w:id="40"/>
      </w:r>
      <w:r w:rsidR="00302D1D" w:rsidRPr="00302D1D">
        <w:rPr>
          <w:rFonts w:ascii="Arial" w:hAnsi="Arial" w:cs="Arial"/>
          <w:szCs w:val="24"/>
        </w:rPr>
        <w:t xml:space="preserve"> with </w:t>
      </w:r>
      <w:r w:rsidR="00F7103F">
        <w:rPr>
          <w:rFonts w:ascii="Arial" w:hAnsi="Arial" w:cs="Arial"/>
          <w:szCs w:val="24"/>
        </w:rPr>
        <w:t>the Amalgamated Transit Union (</w:t>
      </w:r>
      <w:r w:rsidR="00302D1D" w:rsidRPr="00302D1D">
        <w:rPr>
          <w:rFonts w:ascii="Arial" w:hAnsi="Arial" w:cs="Arial"/>
          <w:szCs w:val="24"/>
        </w:rPr>
        <w:t>ATU</w:t>
      </w:r>
      <w:r w:rsidR="00F7103F">
        <w:rPr>
          <w:rFonts w:ascii="Arial" w:hAnsi="Arial" w:cs="Arial"/>
          <w:szCs w:val="24"/>
        </w:rPr>
        <w:t>)</w:t>
      </w:r>
      <w:r w:rsidR="00302D1D" w:rsidRPr="00302D1D">
        <w:rPr>
          <w:rFonts w:ascii="Arial" w:hAnsi="Arial" w:cs="Arial"/>
          <w:szCs w:val="24"/>
        </w:rPr>
        <w:t xml:space="preserve"> Local 587 expires October 31, 2022</w:t>
      </w:r>
      <w:r w:rsidR="00BE05DF">
        <w:rPr>
          <w:rFonts w:ascii="Arial" w:hAnsi="Arial" w:cs="Arial"/>
          <w:szCs w:val="24"/>
        </w:rPr>
        <w:t>, and Executive staff note that bargaining is currently underway</w:t>
      </w:r>
      <w:r w:rsidR="00302D1D" w:rsidRPr="00302D1D">
        <w:rPr>
          <w:rFonts w:ascii="Arial" w:hAnsi="Arial" w:cs="Arial"/>
          <w:szCs w:val="24"/>
        </w:rPr>
        <w:t xml:space="preserve">. ATU is not part of the Coalition Labor Agreement. Two </w:t>
      </w:r>
      <w:r w:rsidR="00BE05DF">
        <w:rPr>
          <w:rFonts w:ascii="Arial" w:hAnsi="Arial" w:cs="Arial"/>
          <w:szCs w:val="24"/>
        </w:rPr>
        <w:t xml:space="preserve">of Metro’s </w:t>
      </w:r>
      <w:r w:rsidR="00483532">
        <w:rPr>
          <w:rFonts w:ascii="Arial" w:hAnsi="Arial" w:cs="Arial"/>
          <w:szCs w:val="24"/>
        </w:rPr>
        <w:t xml:space="preserve">other </w:t>
      </w:r>
      <w:r w:rsidR="00302D1D" w:rsidRPr="00302D1D">
        <w:rPr>
          <w:rFonts w:ascii="Arial" w:hAnsi="Arial" w:cs="Arial"/>
          <w:szCs w:val="24"/>
        </w:rPr>
        <w:t>bargaining units (PROTEC 17 Transit Chiefs and PROTEC 17 Transit Superintendents) voted earlier this year to reject the Coalition Labor Agreement</w:t>
      </w:r>
      <w:r w:rsidR="00BE05DF">
        <w:rPr>
          <w:rStyle w:val="FootnoteReference"/>
          <w:rFonts w:ascii="Arial" w:hAnsi="Arial" w:cs="Arial"/>
          <w:szCs w:val="24"/>
        </w:rPr>
        <w:footnoteReference w:id="41"/>
      </w:r>
      <w:r w:rsidR="00302D1D" w:rsidRPr="00302D1D">
        <w:rPr>
          <w:rFonts w:ascii="Arial" w:hAnsi="Arial" w:cs="Arial"/>
          <w:szCs w:val="24"/>
        </w:rPr>
        <w:t xml:space="preserve"> and are </w:t>
      </w:r>
      <w:r w:rsidR="00BE05DF">
        <w:rPr>
          <w:rFonts w:ascii="Arial" w:hAnsi="Arial" w:cs="Arial"/>
          <w:szCs w:val="24"/>
        </w:rPr>
        <w:t xml:space="preserve">currently </w:t>
      </w:r>
      <w:r w:rsidR="00302D1D" w:rsidRPr="00302D1D">
        <w:rPr>
          <w:rFonts w:ascii="Arial" w:hAnsi="Arial" w:cs="Arial"/>
          <w:szCs w:val="24"/>
        </w:rPr>
        <w:t>pursuing mediation.</w:t>
      </w:r>
      <w:r w:rsidR="00F547FC">
        <w:rPr>
          <w:rFonts w:ascii="Arial" w:hAnsi="Arial" w:cs="Arial"/>
          <w:szCs w:val="24"/>
        </w:rPr>
        <w:t xml:space="preserve"> </w:t>
      </w:r>
    </w:p>
    <w:p w14:paraId="1C61190C" w14:textId="77777777" w:rsidR="008D0B8F" w:rsidRPr="00B2433E" w:rsidRDefault="008D0B8F" w:rsidP="008A5CF4">
      <w:pPr>
        <w:spacing w:line="264" w:lineRule="auto"/>
        <w:contextualSpacing/>
        <w:jc w:val="both"/>
        <w:rPr>
          <w:rFonts w:ascii="Arial" w:hAnsi="Arial" w:cs="Arial"/>
          <w:szCs w:val="24"/>
        </w:rPr>
      </w:pPr>
    </w:p>
    <w:p w14:paraId="7708E908" w14:textId="6F46281D" w:rsidR="005C2E8B" w:rsidRPr="00B2433E" w:rsidRDefault="005C2E8B" w:rsidP="00433119">
      <w:pPr>
        <w:keepNext/>
        <w:spacing w:line="264" w:lineRule="auto"/>
        <w:contextualSpacing/>
        <w:jc w:val="both"/>
        <w:rPr>
          <w:rFonts w:ascii="Arial" w:hAnsi="Arial" w:cs="Arial"/>
          <w:b/>
          <w:smallCaps/>
          <w:szCs w:val="24"/>
          <w:u w:val="single"/>
        </w:rPr>
      </w:pPr>
      <w:r w:rsidRPr="00B2433E">
        <w:rPr>
          <w:rFonts w:ascii="Arial" w:hAnsi="Arial" w:cs="Arial"/>
          <w:b/>
          <w:smallCaps/>
          <w:szCs w:val="24"/>
          <w:u w:val="single"/>
        </w:rPr>
        <w:t>Issue 3 –</w:t>
      </w:r>
      <w:r w:rsidRPr="005570AE">
        <w:rPr>
          <w:rFonts w:ascii="Arial" w:hAnsi="Arial" w:cs="Arial"/>
          <w:b/>
          <w:smallCaps/>
          <w:szCs w:val="24"/>
          <w:u w:val="single"/>
        </w:rPr>
        <w:t xml:space="preserve">  </w:t>
      </w:r>
      <w:r w:rsidR="0037015D" w:rsidRPr="0037015D">
        <w:rPr>
          <w:rFonts w:ascii="Arial" w:hAnsi="Arial" w:cs="Arial"/>
          <w:b/>
          <w:smallCaps/>
          <w:szCs w:val="24"/>
          <w:u w:val="single"/>
        </w:rPr>
        <w:t>Safety, security, and fare enforcement</w:t>
      </w:r>
      <w:r w:rsidR="00E64B7F">
        <w:rPr>
          <w:rFonts w:ascii="Arial" w:hAnsi="Arial" w:cs="Arial"/>
          <w:b/>
          <w:smallCaps/>
          <w:szCs w:val="24"/>
          <w:u w:val="single"/>
        </w:rPr>
        <w:t xml:space="preserve"> (SaFE) Reform </w:t>
      </w:r>
    </w:p>
    <w:p w14:paraId="69D2B2E2" w14:textId="001EF889" w:rsidR="005C2E8B" w:rsidRPr="00B2433E" w:rsidRDefault="005C2E8B" w:rsidP="00433119">
      <w:pPr>
        <w:keepNext/>
        <w:spacing w:line="264" w:lineRule="auto"/>
        <w:contextualSpacing/>
        <w:rPr>
          <w:rFonts w:ascii="Arial" w:hAnsi="Arial" w:cs="Arial"/>
          <w:szCs w:val="24"/>
        </w:rPr>
      </w:pPr>
    </w:p>
    <w:p w14:paraId="683F2214" w14:textId="54E57188" w:rsidR="007A237D" w:rsidRDefault="007A237D" w:rsidP="00EA56BB">
      <w:pPr>
        <w:spacing w:line="264" w:lineRule="auto"/>
        <w:contextualSpacing/>
        <w:jc w:val="both"/>
        <w:rPr>
          <w:rFonts w:ascii="Arial" w:hAnsi="Arial" w:cs="Arial"/>
          <w:szCs w:val="24"/>
        </w:rPr>
      </w:pPr>
      <w:r>
        <w:rPr>
          <w:rFonts w:ascii="Arial" w:hAnsi="Arial" w:cs="Arial"/>
          <w:szCs w:val="24"/>
        </w:rPr>
        <w:t xml:space="preserve">In response to </w:t>
      </w:r>
      <w:r w:rsidR="00816A4D">
        <w:rPr>
          <w:rFonts w:ascii="Arial" w:hAnsi="Arial" w:cs="Arial"/>
          <w:szCs w:val="24"/>
        </w:rPr>
        <w:t>concerns about safety and security incidents on buses and at transit stops</w:t>
      </w:r>
      <w:r w:rsidR="005E7132">
        <w:rPr>
          <w:rFonts w:ascii="Arial" w:hAnsi="Arial" w:cs="Arial"/>
          <w:szCs w:val="24"/>
        </w:rPr>
        <w:t xml:space="preserve"> and bases</w:t>
      </w:r>
      <w:r w:rsidR="00816A4D">
        <w:rPr>
          <w:rFonts w:ascii="Arial" w:hAnsi="Arial" w:cs="Arial"/>
          <w:szCs w:val="24"/>
        </w:rPr>
        <w:t xml:space="preserve">, </w:t>
      </w:r>
      <w:r w:rsidR="00E64B7F">
        <w:rPr>
          <w:rFonts w:ascii="Arial" w:hAnsi="Arial" w:cs="Arial"/>
          <w:szCs w:val="24"/>
        </w:rPr>
        <w:t xml:space="preserve">and as part of a larger effort to </w:t>
      </w:r>
      <w:r w:rsidR="00DE4864">
        <w:rPr>
          <w:rFonts w:ascii="Arial" w:hAnsi="Arial" w:cs="Arial"/>
          <w:szCs w:val="24"/>
        </w:rPr>
        <w:t xml:space="preserve">reimagine and </w:t>
      </w:r>
      <w:r w:rsidR="00E64B7F">
        <w:rPr>
          <w:rFonts w:ascii="Arial" w:hAnsi="Arial" w:cs="Arial"/>
          <w:szCs w:val="24"/>
        </w:rPr>
        <w:t xml:space="preserve">reform </w:t>
      </w:r>
      <w:r w:rsidR="000356E0">
        <w:rPr>
          <w:rFonts w:ascii="Arial" w:hAnsi="Arial" w:cs="Arial"/>
          <w:szCs w:val="24"/>
        </w:rPr>
        <w:t xml:space="preserve">Metro’s </w:t>
      </w:r>
      <w:r w:rsidR="00E64B7F">
        <w:rPr>
          <w:rFonts w:ascii="Arial" w:hAnsi="Arial" w:cs="Arial"/>
          <w:szCs w:val="24"/>
        </w:rPr>
        <w:t>safety and security</w:t>
      </w:r>
      <w:r w:rsidR="00CA7BF1">
        <w:rPr>
          <w:rFonts w:ascii="Arial" w:hAnsi="Arial" w:cs="Arial"/>
          <w:szCs w:val="24"/>
        </w:rPr>
        <w:t xml:space="preserve"> </w:t>
      </w:r>
      <w:r w:rsidR="000356E0">
        <w:rPr>
          <w:rFonts w:ascii="Arial" w:hAnsi="Arial" w:cs="Arial"/>
          <w:szCs w:val="24"/>
        </w:rPr>
        <w:t>functions</w:t>
      </w:r>
      <w:r w:rsidR="00E64B7F">
        <w:rPr>
          <w:rFonts w:ascii="Arial" w:hAnsi="Arial" w:cs="Arial"/>
          <w:szCs w:val="24"/>
        </w:rPr>
        <w:t xml:space="preserve">, the proposed budget includes </w:t>
      </w:r>
      <w:r w:rsidR="00087369">
        <w:rPr>
          <w:rFonts w:ascii="Arial" w:hAnsi="Arial" w:cs="Arial"/>
          <w:szCs w:val="24"/>
        </w:rPr>
        <w:t>several</w:t>
      </w:r>
      <w:r w:rsidR="00E64B7F">
        <w:rPr>
          <w:rFonts w:ascii="Arial" w:hAnsi="Arial" w:cs="Arial"/>
          <w:szCs w:val="24"/>
        </w:rPr>
        <w:t xml:space="preserve"> safety </w:t>
      </w:r>
      <w:r w:rsidR="005E7132">
        <w:rPr>
          <w:rFonts w:ascii="Arial" w:hAnsi="Arial" w:cs="Arial"/>
          <w:szCs w:val="24"/>
        </w:rPr>
        <w:t xml:space="preserve">and </w:t>
      </w:r>
      <w:r w:rsidR="00E64B7F">
        <w:rPr>
          <w:rFonts w:ascii="Arial" w:hAnsi="Arial" w:cs="Arial"/>
          <w:szCs w:val="24"/>
        </w:rPr>
        <w:t>security</w:t>
      </w:r>
      <w:r w:rsidR="005E7132">
        <w:rPr>
          <w:rFonts w:ascii="Arial" w:hAnsi="Arial" w:cs="Arial"/>
          <w:szCs w:val="24"/>
        </w:rPr>
        <w:t xml:space="preserve"> initiatives. The largest of these is the proposed $21 million investment </w:t>
      </w:r>
      <w:r w:rsidR="00BC1BA7">
        <w:rPr>
          <w:rFonts w:ascii="Arial" w:hAnsi="Arial" w:cs="Arial"/>
          <w:szCs w:val="24"/>
        </w:rPr>
        <w:t>to add 140 transit security officers through Metro’s existing contract with Securitas.</w:t>
      </w:r>
    </w:p>
    <w:p w14:paraId="3474F222" w14:textId="0579C950" w:rsidR="00BC1BA7" w:rsidRDefault="00BC1BA7" w:rsidP="00EA56BB">
      <w:pPr>
        <w:spacing w:line="264" w:lineRule="auto"/>
        <w:contextualSpacing/>
        <w:jc w:val="both"/>
        <w:rPr>
          <w:rFonts w:ascii="Arial" w:hAnsi="Arial" w:cs="Arial"/>
          <w:szCs w:val="24"/>
        </w:rPr>
      </w:pPr>
    </w:p>
    <w:p w14:paraId="2C2CB610" w14:textId="0E1F62AD" w:rsidR="00BC1BA7" w:rsidRDefault="00BC1BA7" w:rsidP="00EA56BB">
      <w:pPr>
        <w:spacing w:line="264" w:lineRule="auto"/>
        <w:contextualSpacing/>
        <w:jc w:val="both"/>
        <w:rPr>
          <w:rFonts w:ascii="Arial" w:hAnsi="Arial" w:cs="Arial"/>
          <w:szCs w:val="24"/>
        </w:rPr>
      </w:pPr>
      <w:r>
        <w:rPr>
          <w:rFonts w:ascii="Arial" w:hAnsi="Arial" w:cs="Arial"/>
          <w:szCs w:val="24"/>
        </w:rPr>
        <w:t xml:space="preserve">Metro staff state that they are optimistic </w:t>
      </w:r>
      <w:r w:rsidR="008C05F2">
        <w:rPr>
          <w:rFonts w:ascii="Arial" w:hAnsi="Arial" w:cs="Arial"/>
          <w:szCs w:val="24"/>
        </w:rPr>
        <w:t xml:space="preserve">Metro will be able to secure these transit security officers but note that contracted officers from Securitas are in high demand, with competition from other accounts, such as Amazon. </w:t>
      </w:r>
      <w:r w:rsidR="0071110B">
        <w:rPr>
          <w:rFonts w:ascii="Arial" w:hAnsi="Arial" w:cs="Arial"/>
          <w:szCs w:val="24"/>
        </w:rPr>
        <w:t xml:space="preserve">Metro has experienced attrition </w:t>
      </w:r>
      <w:r w:rsidR="007970BD">
        <w:rPr>
          <w:rFonts w:ascii="Arial" w:hAnsi="Arial" w:cs="Arial"/>
          <w:szCs w:val="24"/>
        </w:rPr>
        <w:t xml:space="preserve">among its transit security officers </w:t>
      </w:r>
      <w:r w:rsidR="0071110B">
        <w:rPr>
          <w:rFonts w:ascii="Arial" w:hAnsi="Arial" w:cs="Arial"/>
          <w:szCs w:val="24"/>
        </w:rPr>
        <w:t xml:space="preserve">and </w:t>
      </w:r>
      <w:r w:rsidR="002E1629">
        <w:rPr>
          <w:rFonts w:ascii="Arial" w:hAnsi="Arial" w:cs="Arial"/>
          <w:szCs w:val="24"/>
        </w:rPr>
        <w:t xml:space="preserve">states that it </w:t>
      </w:r>
      <w:r w:rsidR="0071110B">
        <w:rPr>
          <w:rFonts w:ascii="Arial" w:hAnsi="Arial" w:cs="Arial"/>
          <w:szCs w:val="24"/>
        </w:rPr>
        <w:t>has been difficul</w:t>
      </w:r>
      <w:r w:rsidR="002E1629">
        <w:rPr>
          <w:rFonts w:ascii="Arial" w:hAnsi="Arial" w:cs="Arial"/>
          <w:szCs w:val="24"/>
        </w:rPr>
        <w:t xml:space="preserve">t to </w:t>
      </w:r>
      <w:r w:rsidR="0071110B">
        <w:rPr>
          <w:rFonts w:ascii="Arial" w:hAnsi="Arial" w:cs="Arial"/>
          <w:szCs w:val="24"/>
        </w:rPr>
        <w:t>fill vacancies</w:t>
      </w:r>
      <w:r w:rsidR="00433BD4">
        <w:rPr>
          <w:rFonts w:ascii="Arial" w:hAnsi="Arial" w:cs="Arial"/>
          <w:szCs w:val="24"/>
        </w:rPr>
        <w:t>, noting that</w:t>
      </w:r>
      <w:r w:rsidR="00087369">
        <w:rPr>
          <w:rFonts w:ascii="Arial" w:hAnsi="Arial" w:cs="Arial"/>
          <w:szCs w:val="24"/>
        </w:rPr>
        <w:t>,</w:t>
      </w:r>
      <w:r w:rsidR="00433BD4">
        <w:rPr>
          <w:rFonts w:ascii="Arial" w:hAnsi="Arial" w:cs="Arial"/>
          <w:szCs w:val="24"/>
        </w:rPr>
        <w:t xml:space="preserve"> if needed</w:t>
      </w:r>
      <w:r w:rsidR="00087369">
        <w:rPr>
          <w:rFonts w:ascii="Arial" w:hAnsi="Arial" w:cs="Arial"/>
          <w:szCs w:val="24"/>
        </w:rPr>
        <w:t>,</w:t>
      </w:r>
      <w:r w:rsidR="00433BD4">
        <w:rPr>
          <w:rFonts w:ascii="Arial" w:hAnsi="Arial" w:cs="Arial"/>
          <w:szCs w:val="24"/>
        </w:rPr>
        <w:t xml:space="preserve"> Metro would explore opportunities with other contractors to supplement Securitas’ staffing resources for positions they are unable to fill.</w:t>
      </w:r>
    </w:p>
    <w:p w14:paraId="1DF68182" w14:textId="77777777" w:rsidR="007A237D" w:rsidRDefault="007A237D" w:rsidP="00EA56BB">
      <w:pPr>
        <w:spacing w:line="264" w:lineRule="auto"/>
        <w:contextualSpacing/>
        <w:jc w:val="both"/>
        <w:rPr>
          <w:rFonts w:ascii="Arial" w:hAnsi="Arial" w:cs="Arial"/>
          <w:szCs w:val="24"/>
        </w:rPr>
      </w:pPr>
    </w:p>
    <w:p w14:paraId="604F38E7" w14:textId="2A17EFEE" w:rsidR="0037015D" w:rsidRPr="00B2433E" w:rsidRDefault="0037015D" w:rsidP="00433119">
      <w:pPr>
        <w:keepNext/>
        <w:spacing w:line="264" w:lineRule="auto"/>
        <w:contextualSpacing/>
        <w:jc w:val="both"/>
        <w:rPr>
          <w:rFonts w:ascii="Arial" w:hAnsi="Arial" w:cs="Arial"/>
          <w:b/>
          <w:smallCaps/>
          <w:szCs w:val="24"/>
          <w:u w:val="single"/>
        </w:rPr>
      </w:pPr>
      <w:r w:rsidRPr="00B2433E">
        <w:rPr>
          <w:rFonts w:ascii="Arial" w:hAnsi="Arial" w:cs="Arial"/>
          <w:b/>
          <w:smallCaps/>
          <w:szCs w:val="24"/>
          <w:u w:val="single"/>
        </w:rPr>
        <w:t xml:space="preserve">Issue </w:t>
      </w:r>
      <w:r w:rsidR="002A69EE">
        <w:rPr>
          <w:rFonts w:ascii="Arial" w:hAnsi="Arial" w:cs="Arial"/>
          <w:b/>
          <w:smallCaps/>
          <w:szCs w:val="24"/>
          <w:u w:val="single"/>
        </w:rPr>
        <w:t>4</w:t>
      </w:r>
      <w:r w:rsidRPr="00B2433E">
        <w:rPr>
          <w:rFonts w:ascii="Arial" w:hAnsi="Arial" w:cs="Arial"/>
          <w:b/>
          <w:smallCaps/>
          <w:szCs w:val="24"/>
          <w:u w:val="single"/>
        </w:rPr>
        <w:t xml:space="preserve"> –</w:t>
      </w:r>
      <w:r w:rsidRPr="005570AE">
        <w:rPr>
          <w:rFonts w:ascii="Arial" w:hAnsi="Arial" w:cs="Arial"/>
          <w:b/>
          <w:smallCaps/>
          <w:szCs w:val="24"/>
          <w:u w:val="single"/>
        </w:rPr>
        <w:t xml:space="preserve">  </w:t>
      </w:r>
      <w:r w:rsidR="00803130" w:rsidRPr="00803130">
        <w:rPr>
          <w:rFonts w:ascii="Arial" w:hAnsi="Arial" w:cs="Arial"/>
          <w:b/>
          <w:smallCaps/>
          <w:szCs w:val="24"/>
          <w:u w:val="single"/>
        </w:rPr>
        <w:t>Electrification</w:t>
      </w:r>
    </w:p>
    <w:p w14:paraId="784B93F3" w14:textId="7CFC58D0" w:rsidR="0037015D" w:rsidRDefault="0037015D" w:rsidP="00433119">
      <w:pPr>
        <w:keepNext/>
        <w:spacing w:line="264" w:lineRule="auto"/>
        <w:contextualSpacing/>
        <w:rPr>
          <w:rFonts w:ascii="Arial" w:hAnsi="Arial" w:cs="Arial"/>
          <w:szCs w:val="24"/>
        </w:rPr>
      </w:pPr>
    </w:p>
    <w:p w14:paraId="536A6B8D" w14:textId="153E040D" w:rsidR="00F50A26" w:rsidRDefault="00980DE2" w:rsidP="00086B56">
      <w:pPr>
        <w:spacing w:line="264" w:lineRule="auto"/>
        <w:contextualSpacing/>
        <w:jc w:val="both"/>
        <w:rPr>
          <w:rFonts w:ascii="Arial" w:hAnsi="Arial" w:cs="Arial"/>
          <w:szCs w:val="24"/>
        </w:rPr>
      </w:pPr>
      <w:r>
        <w:rPr>
          <w:rFonts w:ascii="Arial" w:hAnsi="Arial" w:cs="Arial"/>
          <w:szCs w:val="24"/>
        </w:rPr>
        <w:t>To</w:t>
      </w:r>
      <w:r w:rsidR="00913E5B">
        <w:rPr>
          <w:rFonts w:ascii="Arial" w:hAnsi="Arial" w:cs="Arial"/>
          <w:szCs w:val="24"/>
        </w:rPr>
        <w:t xml:space="preserve"> meet the adopted goal</w:t>
      </w:r>
      <w:r w:rsidR="00047176">
        <w:rPr>
          <w:rFonts w:ascii="Arial" w:hAnsi="Arial" w:cs="Arial"/>
          <w:szCs w:val="24"/>
        </w:rPr>
        <w:t xml:space="preserve"> of </w:t>
      </w:r>
      <w:r w:rsidR="000C72FB">
        <w:rPr>
          <w:rFonts w:ascii="Arial" w:hAnsi="Arial" w:cs="Arial"/>
          <w:szCs w:val="24"/>
        </w:rPr>
        <w:t xml:space="preserve">transitioning to </w:t>
      </w:r>
      <w:r w:rsidR="00047176">
        <w:rPr>
          <w:rFonts w:ascii="Arial" w:hAnsi="Arial" w:cs="Arial"/>
          <w:szCs w:val="24"/>
        </w:rPr>
        <w:t xml:space="preserve">a </w:t>
      </w:r>
      <w:r w:rsidR="00BE6EE3">
        <w:rPr>
          <w:rFonts w:ascii="Arial" w:hAnsi="Arial" w:cs="Arial"/>
          <w:szCs w:val="24"/>
        </w:rPr>
        <w:t>zero-emission revenue bus fleet by 2035</w:t>
      </w:r>
      <w:r w:rsidR="00626F55">
        <w:rPr>
          <w:rFonts w:ascii="Arial" w:hAnsi="Arial" w:cs="Arial"/>
          <w:szCs w:val="24"/>
        </w:rPr>
        <w:t>,</w:t>
      </w:r>
      <w:r w:rsidR="00C05751">
        <w:rPr>
          <w:rStyle w:val="FootnoteReference"/>
          <w:rFonts w:ascii="Arial" w:hAnsi="Arial" w:cs="Arial"/>
          <w:szCs w:val="24"/>
        </w:rPr>
        <w:footnoteReference w:id="42"/>
      </w:r>
      <w:r w:rsidR="00BE6EE3">
        <w:rPr>
          <w:rFonts w:ascii="Arial" w:hAnsi="Arial" w:cs="Arial"/>
          <w:szCs w:val="24"/>
        </w:rPr>
        <w:t xml:space="preserve"> </w:t>
      </w:r>
      <w:r w:rsidR="00626F55">
        <w:rPr>
          <w:rFonts w:ascii="Arial" w:hAnsi="Arial" w:cs="Arial"/>
          <w:szCs w:val="24"/>
        </w:rPr>
        <w:t xml:space="preserve">Metro must </w:t>
      </w:r>
      <w:r w:rsidR="00985AC2">
        <w:rPr>
          <w:rFonts w:ascii="Arial" w:hAnsi="Arial" w:cs="Arial"/>
          <w:szCs w:val="24"/>
        </w:rPr>
        <w:t>purchase more than 1,300 battery electric buses</w:t>
      </w:r>
      <w:r w:rsidR="009867BA">
        <w:rPr>
          <w:rFonts w:ascii="Arial" w:hAnsi="Arial" w:cs="Arial"/>
          <w:szCs w:val="24"/>
        </w:rPr>
        <w:t xml:space="preserve">, starting with </w:t>
      </w:r>
      <w:r>
        <w:rPr>
          <w:rFonts w:ascii="Arial" w:hAnsi="Arial" w:cs="Arial"/>
          <w:szCs w:val="24"/>
        </w:rPr>
        <w:t xml:space="preserve">a proposed </w:t>
      </w:r>
      <w:r w:rsidR="009867BA">
        <w:rPr>
          <w:rFonts w:ascii="Arial" w:hAnsi="Arial" w:cs="Arial"/>
          <w:szCs w:val="24"/>
        </w:rPr>
        <w:t xml:space="preserve">120 </w:t>
      </w:r>
      <w:r>
        <w:rPr>
          <w:rFonts w:ascii="Arial" w:hAnsi="Arial" w:cs="Arial"/>
          <w:szCs w:val="24"/>
        </w:rPr>
        <w:t>during 2023-2024</w:t>
      </w:r>
      <w:r w:rsidR="009867BA">
        <w:rPr>
          <w:rFonts w:ascii="Arial" w:hAnsi="Arial" w:cs="Arial"/>
          <w:szCs w:val="24"/>
        </w:rPr>
        <w:t>,</w:t>
      </w:r>
      <w:r w:rsidR="004245E1">
        <w:rPr>
          <w:rStyle w:val="FootnoteReference"/>
          <w:rFonts w:ascii="Arial" w:hAnsi="Arial" w:cs="Arial"/>
          <w:szCs w:val="24"/>
        </w:rPr>
        <w:footnoteReference w:id="43"/>
      </w:r>
      <w:r w:rsidR="009867BA">
        <w:rPr>
          <w:rFonts w:ascii="Arial" w:hAnsi="Arial" w:cs="Arial"/>
          <w:szCs w:val="24"/>
        </w:rPr>
        <w:t xml:space="preserve"> and must convert </w:t>
      </w:r>
      <w:r w:rsidR="00087369">
        <w:rPr>
          <w:rFonts w:ascii="Arial" w:hAnsi="Arial" w:cs="Arial"/>
          <w:szCs w:val="24"/>
        </w:rPr>
        <w:t>all</w:t>
      </w:r>
      <w:r w:rsidR="009867BA">
        <w:rPr>
          <w:rFonts w:ascii="Arial" w:hAnsi="Arial" w:cs="Arial"/>
          <w:szCs w:val="24"/>
        </w:rPr>
        <w:t xml:space="preserve"> its bases</w:t>
      </w:r>
      <w:r w:rsidR="00F50A26">
        <w:rPr>
          <w:rFonts w:ascii="Arial" w:hAnsi="Arial" w:cs="Arial"/>
          <w:szCs w:val="24"/>
        </w:rPr>
        <w:t xml:space="preserve"> to support electric charging infrastructure. The</w:t>
      </w:r>
      <w:r w:rsidR="00F9164C">
        <w:rPr>
          <w:rFonts w:ascii="Arial" w:hAnsi="Arial" w:cs="Arial"/>
          <w:szCs w:val="24"/>
        </w:rPr>
        <w:t xml:space="preserve"> 2023-2024 biennial budget </w:t>
      </w:r>
      <w:r w:rsidR="00086B56">
        <w:rPr>
          <w:rFonts w:ascii="Arial" w:hAnsi="Arial" w:cs="Arial"/>
          <w:szCs w:val="24"/>
        </w:rPr>
        <w:t>proposes $1.3 million in the operating budget and $248.</w:t>
      </w:r>
      <w:r w:rsidR="0078543B">
        <w:rPr>
          <w:rFonts w:ascii="Arial" w:hAnsi="Arial" w:cs="Arial"/>
          <w:szCs w:val="24"/>
        </w:rPr>
        <w:t>5</w:t>
      </w:r>
      <w:r w:rsidR="00086B56">
        <w:rPr>
          <w:rFonts w:ascii="Arial" w:hAnsi="Arial" w:cs="Arial"/>
          <w:szCs w:val="24"/>
        </w:rPr>
        <w:t xml:space="preserve"> million in the capital budget </w:t>
      </w:r>
      <w:r w:rsidR="00710C05">
        <w:rPr>
          <w:rFonts w:ascii="Arial" w:hAnsi="Arial" w:cs="Arial"/>
          <w:szCs w:val="24"/>
        </w:rPr>
        <w:t xml:space="preserve">to </w:t>
      </w:r>
      <w:r w:rsidR="00130B02">
        <w:rPr>
          <w:rFonts w:ascii="Arial" w:hAnsi="Arial" w:cs="Arial"/>
          <w:szCs w:val="24"/>
        </w:rPr>
        <w:t xml:space="preserve">proceed with </w:t>
      </w:r>
      <w:r w:rsidR="000C72FB">
        <w:rPr>
          <w:rFonts w:ascii="Arial" w:hAnsi="Arial" w:cs="Arial"/>
          <w:szCs w:val="24"/>
        </w:rPr>
        <w:t xml:space="preserve">that </w:t>
      </w:r>
      <w:r w:rsidR="00F50A26">
        <w:rPr>
          <w:rFonts w:ascii="Arial" w:hAnsi="Arial" w:cs="Arial"/>
          <w:szCs w:val="24"/>
        </w:rPr>
        <w:t>work</w:t>
      </w:r>
      <w:r w:rsidR="00A24D6F">
        <w:rPr>
          <w:rFonts w:ascii="Arial" w:hAnsi="Arial" w:cs="Arial"/>
          <w:szCs w:val="24"/>
        </w:rPr>
        <w:t xml:space="preserve">. </w:t>
      </w:r>
      <w:r w:rsidR="00F50A26">
        <w:rPr>
          <w:rFonts w:ascii="Arial" w:hAnsi="Arial" w:cs="Arial"/>
          <w:szCs w:val="24"/>
        </w:rPr>
        <w:t xml:space="preserve">Metro staff note that electrification efforts will </w:t>
      </w:r>
      <w:r w:rsidR="005F6F61">
        <w:rPr>
          <w:rFonts w:ascii="Arial" w:hAnsi="Arial" w:cs="Arial"/>
          <w:szCs w:val="24"/>
        </w:rPr>
        <w:t xml:space="preserve">be funded in part by the </w:t>
      </w:r>
      <w:r w:rsidR="00F50A26">
        <w:rPr>
          <w:rFonts w:ascii="Arial" w:hAnsi="Arial" w:cs="Arial"/>
          <w:szCs w:val="24"/>
        </w:rPr>
        <w:t>drawdown of undesignated fund balance over the next decade.</w:t>
      </w:r>
    </w:p>
    <w:p w14:paraId="667B6661" w14:textId="77777777" w:rsidR="00F50A26" w:rsidRDefault="00F50A26" w:rsidP="00086B56">
      <w:pPr>
        <w:spacing w:line="264" w:lineRule="auto"/>
        <w:contextualSpacing/>
        <w:jc w:val="both"/>
        <w:rPr>
          <w:rFonts w:ascii="Arial" w:hAnsi="Arial" w:cs="Arial"/>
          <w:szCs w:val="24"/>
        </w:rPr>
      </w:pPr>
    </w:p>
    <w:p w14:paraId="60D8355D" w14:textId="1BDC5533" w:rsidR="00974C2E" w:rsidRDefault="004A5A07" w:rsidP="00086B56">
      <w:pPr>
        <w:spacing w:line="264" w:lineRule="auto"/>
        <w:contextualSpacing/>
        <w:jc w:val="both"/>
        <w:rPr>
          <w:rFonts w:ascii="Arial" w:hAnsi="Arial" w:cs="Arial"/>
          <w:szCs w:val="24"/>
        </w:rPr>
      </w:pPr>
      <w:r>
        <w:rPr>
          <w:rFonts w:ascii="Arial" w:hAnsi="Arial" w:cs="Arial"/>
          <w:szCs w:val="24"/>
        </w:rPr>
        <w:t xml:space="preserve">One of the questions Councilmembers have asked </w:t>
      </w:r>
      <w:r w:rsidR="007F7C87">
        <w:rPr>
          <w:rFonts w:ascii="Arial" w:hAnsi="Arial" w:cs="Arial"/>
          <w:szCs w:val="24"/>
        </w:rPr>
        <w:t xml:space="preserve">over the last several years while reviewing </w:t>
      </w:r>
      <w:r w:rsidR="009F0615">
        <w:rPr>
          <w:rFonts w:ascii="Arial" w:hAnsi="Arial" w:cs="Arial"/>
          <w:szCs w:val="24"/>
        </w:rPr>
        <w:t>options to achieve a zero-emission transit fleet</w:t>
      </w:r>
      <w:r>
        <w:rPr>
          <w:rFonts w:ascii="Arial" w:hAnsi="Arial" w:cs="Arial"/>
          <w:szCs w:val="24"/>
        </w:rPr>
        <w:t xml:space="preserve"> is about the tradeoff </w:t>
      </w:r>
      <w:r w:rsidR="00174CE0">
        <w:rPr>
          <w:rFonts w:ascii="Arial" w:hAnsi="Arial" w:cs="Arial"/>
          <w:szCs w:val="24"/>
        </w:rPr>
        <w:t xml:space="preserve">between </w:t>
      </w:r>
      <w:r w:rsidR="00974C2E">
        <w:rPr>
          <w:rFonts w:ascii="Arial" w:hAnsi="Arial" w:cs="Arial"/>
          <w:szCs w:val="24"/>
        </w:rPr>
        <w:t>service hours and electrification costs, given the higher cost to acquire zero-emission vehicles.</w:t>
      </w:r>
    </w:p>
    <w:p w14:paraId="2216E81C" w14:textId="77777777" w:rsidR="00974C2E" w:rsidRDefault="00974C2E" w:rsidP="00086B56">
      <w:pPr>
        <w:spacing w:line="264" w:lineRule="auto"/>
        <w:contextualSpacing/>
        <w:jc w:val="both"/>
        <w:rPr>
          <w:rFonts w:ascii="Arial" w:hAnsi="Arial" w:cs="Arial"/>
          <w:szCs w:val="24"/>
        </w:rPr>
      </w:pPr>
    </w:p>
    <w:p w14:paraId="77E81095" w14:textId="5E49AEAC" w:rsidR="00047176" w:rsidRDefault="00974C2E" w:rsidP="00086B56">
      <w:pPr>
        <w:spacing w:line="264" w:lineRule="auto"/>
        <w:contextualSpacing/>
        <w:jc w:val="both"/>
        <w:rPr>
          <w:rFonts w:ascii="Arial" w:hAnsi="Arial" w:cs="Arial"/>
          <w:szCs w:val="24"/>
        </w:rPr>
      </w:pPr>
      <w:r>
        <w:rPr>
          <w:rFonts w:ascii="Arial" w:hAnsi="Arial" w:cs="Arial"/>
          <w:szCs w:val="24"/>
        </w:rPr>
        <w:lastRenderedPageBreak/>
        <w:t>The most recent study</w:t>
      </w:r>
      <w:r w:rsidR="00174CE0">
        <w:rPr>
          <w:rFonts w:ascii="Arial" w:hAnsi="Arial" w:cs="Arial"/>
          <w:szCs w:val="24"/>
        </w:rPr>
        <w:t xml:space="preserve"> on this topic</w:t>
      </w:r>
      <w:r>
        <w:rPr>
          <w:rFonts w:ascii="Arial" w:hAnsi="Arial" w:cs="Arial"/>
          <w:szCs w:val="24"/>
        </w:rPr>
        <w:t xml:space="preserve">, </w:t>
      </w:r>
      <w:r w:rsidR="001F6604">
        <w:rPr>
          <w:rFonts w:ascii="Arial" w:hAnsi="Arial" w:cs="Arial"/>
          <w:szCs w:val="24"/>
        </w:rPr>
        <w:t>which was prepared by Metro in 2020 following a Council budget proviso,</w:t>
      </w:r>
      <w:r w:rsidR="001F6604">
        <w:rPr>
          <w:rStyle w:val="FootnoteReference"/>
          <w:rFonts w:ascii="Arial" w:hAnsi="Arial" w:cs="Arial"/>
          <w:szCs w:val="24"/>
        </w:rPr>
        <w:footnoteReference w:id="44"/>
      </w:r>
      <w:r w:rsidR="001F6604">
        <w:rPr>
          <w:rFonts w:ascii="Arial" w:hAnsi="Arial" w:cs="Arial"/>
          <w:szCs w:val="24"/>
        </w:rPr>
        <w:t xml:space="preserve"> estimated </w:t>
      </w:r>
      <w:r w:rsidR="00426CC4">
        <w:rPr>
          <w:rFonts w:ascii="Arial" w:hAnsi="Arial" w:cs="Arial"/>
          <w:szCs w:val="24"/>
        </w:rPr>
        <w:t xml:space="preserve">life cycle costs for battery electric buses, factoring in both monetary and social costs, and examining scenarios </w:t>
      </w:r>
      <w:r w:rsidR="000A577B">
        <w:rPr>
          <w:rFonts w:ascii="Arial" w:hAnsi="Arial" w:cs="Arial"/>
          <w:szCs w:val="24"/>
        </w:rPr>
        <w:t xml:space="preserve">in which zero-emission vehicles remain at their current cost differential versus one in which costs decrease </w:t>
      </w:r>
      <w:r w:rsidR="00A57A0B">
        <w:rPr>
          <w:rFonts w:ascii="Arial" w:hAnsi="Arial" w:cs="Arial"/>
          <w:szCs w:val="24"/>
        </w:rPr>
        <w:t xml:space="preserve">over time </w:t>
      </w:r>
      <w:r w:rsidR="000A577B">
        <w:rPr>
          <w:rFonts w:ascii="Arial" w:hAnsi="Arial" w:cs="Arial"/>
          <w:szCs w:val="24"/>
        </w:rPr>
        <w:t xml:space="preserve">as technology advances. </w:t>
      </w:r>
      <w:r w:rsidR="0012426F">
        <w:rPr>
          <w:rFonts w:ascii="Arial" w:hAnsi="Arial" w:cs="Arial"/>
          <w:szCs w:val="24"/>
        </w:rPr>
        <w:t>The study found that if costs remain steady over time, the additional cost of acquiring a zero-emission fleet would be equivalent to providing 237,000 annual service hours over a 19-year period. However, if costs decrease with</w:t>
      </w:r>
      <w:r w:rsidR="00F916B4">
        <w:rPr>
          <w:rFonts w:ascii="Arial" w:hAnsi="Arial" w:cs="Arial"/>
          <w:szCs w:val="24"/>
        </w:rPr>
        <w:t xml:space="preserve"> advances in technology, the lifecycle and societal costs of zero-emission and diesel-hybrid vehicles would be roughly equivalent over the same 19-year period.</w:t>
      </w:r>
      <w:r>
        <w:rPr>
          <w:rFonts w:ascii="Arial" w:hAnsi="Arial" w:cs="Arial"/>
          <w:szCs w:val="24"/>
        </w:rPr>
        <w:t xml:space="preserve"> </w:t>
      </w:r>
    </w:p>
    <w:p w14:paraId="109F650D" w14:textId="6F2ABD7C" w:rsidR="00B755F1" w:rsidRDefault="00B755F1" w:rsidP="00086B56">
      <w:pPr>
        <w:spacing w:line="264" w:lineRule="auto"/>
        <w:contextualSpacing/>
        <w:jc w:val="both"/>
        <w:rPr>
          <w:rFonts w:ascii="Arial" w:hAnsi="Arial" w:cs="Arial"/>
          <w:szCs w:val="24"/>
        </w:rPr>
      </w:pPr>
    </w:p>
    <w:p w14:paraId="54FB6559" w14:textId="104A9EA0" w:rsidR="002A69EE" w:rsidRPr="00B2433E" w:rsidRDefault="002A69EE" w:rsidP="00433119">
      <w:pPr>
        <w:keepNext/>
        <w:spacing w:line="264" w:lineRule="auto"/>
        <w:contextualSpacing/>
        <w:jc w:val="both"/>
        <w:rPr>
          <w:rFonts w:ascii="Arial" w:hAnsi="Arial" w:cs="Arial"/>
          <w:b/>
          <w:smallCaps/>
          <w:szCs w:val="24"/>
          <w:u w:val="single"/>
        </w:rPr>
      </w:pPr>
      <w:r w:rsidRPr="00B2433E">
        <w:rPr>
          <w:rFonts w:ascii="Arial" w:hAnsi="Arial" w:cs="Arial"/>
          <w:b/>
          <w:smallCaps/>
          <w:szCs w:val="24"/>
          <w:u w:val="single"/>
        </w:rPr>
        <w:t xml:space="preserve">Issue </w:t>
      </w:r>
      <w:r>
        <w:rPr>
          <w:rFonts w:ascii="Arial" w:hAnsi="Arial" w:cs="Arial"/>
          <w:b/>
          <w:smallCaps/>
          <w:szCs w:val="24"/>
          <w:u w:val="single"/>
        </w:rPr>
        <w:t>5</w:t>
      </w:r>
      <w:r w:rsidRPr="00B2433E">
        <w:rPr>
          <w:rFonts w:ascii="Arial" w:hAnsi="Arial" w:cs="Arial"/>
          <w:b/>
          <w:smallCaps/>
          <w:szCs w:val="24"/>
          <w:u w:val="single"/>
        </w:rPr>
        <w:t xml:space="preserve"> –</w:t>
      </w:r>
      <w:r w:rsidRPr="005570AE">
        <w:rPr>
          <w:rFonts w:ascii="Arial" w:hAnsi="Arial" w:cs="Arial"/>
          <w:b/>
          <w:smallCaps/>
          <w:szCs w:val="24"/>
          <w:u w:val="single"/>
        </w:rPr>
        <w:t xml:space="preserve">  </w:t>
      </w:r>
      <w:r>
        <w:rPr>
          <w:rFonts w:ascii="Arial" w:hAnsi="Arial" w:cs="Arial"/>
          <w:b/>
          <w:smallCaps/>
          <w:szCs w:val="24"/>
          <w:u w:val="single"/>
        </w:rPr>
        <w:t>RapidRide Progress</w:t>
      </w:r>
    </w:p>
    <w:p w14:paraId="4B6BE01F" w14:textId="77777777" w:rsidR="002A69EE" w:rsidRDefault="002A69EE" w:rsidP="00433119">
      <w:pPr>
        <w:keepNext/>
        <w:spacing w:line="264" w:lineRule="auto"/>
        <w:contextualSpacing/>
        <w:rPr>
          <w:rFonts w:ascii="Arial" w:hAnsi="Arial" w:cs="Arial"/>
          <w:szCs w:val="24"/>
        </w:rPr>
      </w:pPr>
    </w:p>
    <w:p w14:paraId="0481E879" w14:textId="045DACAE" w:rsidR="002A69EE" w:rsidRDefault="00A75F3F" w:rsidP="0049790B">
      <w:pPr>
        <w:spacing w:line="264" w:lineRule="auto"/>
        <w:contextualSpacing/>
        <w:jc w:val="both"/>
        <w:rPr>
          <w:rFonts w:ascii="Arial" w:hAnsi="Arial" w:cs="Arial"/>
          <w:szCs w:val="24"/>
        </w:rPr>
      </w:pPr>
      <w:r>
        <w:rPr>
          <w:rFonts w:ascii="Arial" w:hAnsi="Arial" w:cs="Arial"/>
          <w:szCs w:val="24"/>
        </w:rPr>
        <w:t>The Metro Connects long-range plan</w:t>
      </w:r>
      <w:r>
        <w:rPr>
          <w:rStyle w:val="FootnoteReference"/>
          <w:rFonts w:ascii="Arial" w:hAnsi="Arial" w:cs="Arial"/>
          <w:szCs w:val="24"/>
        </w:rPr>
        <w:footnoteReference w:id="45"/>
      </w:r>
      <w:r>
        <w:rPr>
          <w:rFonts w:ascii="Arial" w:hAnsi="Arial" w:cs="Arial"/>
          <w:szCs w:val="24"/>
        </w:rPr>
        <w:t xml:space="preserve"> </w:t>
      </w:r>
      <w:r w:rsidR="0049790B">
        <w:rPr>
          <w:rFonts w:ascii="Arial" w:hAnsi="Arial" w:cs="Arial"/>
        </w:rPr>
        <w:t xml:space="preserve">states that </w:t>
      </w:r>
      <w:r w:rsidR="0049790B" w:rsidRPr="00803293">
        <w:rPr>
          <w:rFonts w:ascii="Arial" w:hAnsi="Arial" w:cs="Arial"/>
        </w:rPr>
        <w:t>10</w:t>
      </w:r>
      <w:r w:rsidR="0049790B">
        <w:rPr>
          <w:rFonts w:ascii="Arial" w:hAnsi="Arial" w:cs="Arial"/>
        </w:rPr>
        <w:t xml:space="preserve"> </w:t>
      </w:r>
      <w:r w:rsidR="0049790B" w:rsidRPr="00803293">
        <w:rPr>
          <w:rFonts w:ascii="Arial" w:hAnsi="Arial" w:cs="Arial"/>
        </w:rPr>
        <w:t>RapidRide</w:t>
      </w:r>
      <w:r w:rsidR="0049790B">
        <w:rPr>
          <w:rFonts w:ascii="Arial" w:hAnsi="Arial" w:cs="Arial"/>
        </w:rPr>
        <w:t xml:space="preserve"> </w:t>
      </w:r>
      <w:r w:rsidR="0049790B" w:rsidRPr="00803293">
        <w:rPr>
          <w:rFonts w:ascii="Arial" w:hAnsi="Arial" w:cs="Arial"/>
        </w:rPr>
        <w:t>lines</w:t>
      </w:r>
      <w:r w:rsidR="0049790B">
        <w:rPr>
          <w:rFonts w:ascii="Arial" w:hAnsi="Arial" w:cs="Arial"/>
        </w:rPr>
        <w:t xml:space="preserve"> </w:t>
      </w:r>
      <w:r w:rsidR="0049790B" w:rsidRPr="00803293">
        <w:rPr>
          <w:rFonts w:ascii="Arial" w:hAnsi="Arial" w:cs="Arial"/>
        </w:rPr>
        <w:t>(A-J)</w:t>
      </w:r>
      <w:r w:rsidR="0049790B">
        <w:rPr>
          <w:rFonts w:ascii="Arial" w:hAnsi="Arial" w:cs="Arial"/>
        </w:rPr>
        <w:t xml:space="preserve"> </w:t>
      </w:r>
      <w:r w:rsidR="0049790B" w:rsidRPr="00803293">
        <w:rPr>
          <w:rFonts w:ascii="Arial" w:hAnsi="Arial" w:cs="Arial"/>
        </w:rPr>
        <w:t>are</w:t>
      </w:r>
      <w:r w:rsidR="0049790B">
        <w:rPr>
          <w:rFonts w:ascii="Arial" w:hAnsi="Arial" w:cs="Arial"/>
        </w:rPr>
        <w:t xml:space="preserve"> </w:t>
      </w:r>
      <w:r w:rsidR="0049790B" w:rsidRPr="00803293">
        <w:rPr>
          <w:rFonts w:ascii="Arial" w:hAnsi="Arial" w:cs="Arial"/>
        </w:rPr>
        <w:t>expected</w:t>
      </w:r>
      <w:r w:rsidR="0049790B">
        <w:rPr>
          <w:rFonts w:ascii="Arial" w:hAnsi="Arial" w:cs="Arial"/>
        </w:rPr>
        <w:t xml:space="preserve"> </w:t>
      </w:r>
      <w:r w:rsidR="0049790B" w:rsidRPr="00803293">
        <w:rPr>
          <w:rFonts w:ascii="Arial" w:hAnsi="Arial" w:cs="Arial"/>
        </w:rPr>
        <w:t>to</w:t>
      </w:r>
      <w:r w:rsidR="0049790B">
        <w:rPr>
          <w:rFonts w:ascii="Arial" w:hAnsi="Arial" w:cs="Arial"/>
        </w:rPr>
        <w:t xml:space="preserve"> </w:t>
      </w:r>
      <w:r w:rsidR="0049790B" w:rsidRPr="00803293">
        <w:rPr>
          <w:rFonts w:ascii="Arial" w:hAnsi="Arial" w:cs="Arial"/>
        </w:rPr>
        <w:t>be</w:t>
      </w:r>
      <w:r w:rsidR="0049790B">
        <w:rPr>
          <w:rFonts w:ascii="Arial" w:hAnsi="Arial" w:cs="Arial"/>
        </w:rPr>
        <w:t xml:space="preserve"> </w:t>
      </w:r>
      <w:r w:rsidR="0049790B" w:rsidRPr="00803293">
        <w:rPr>
          <w:rFonts w:ascii="Arial" w:hAnsi="Arial" w:cs="Arial"/>
        </w:rPr>
        <w:t>in</w:t>
      </w:r>
      <w:r w:rsidR="0049790B">
        <w:rPr>
          <w:rFonts w:ascii="Arial" w:hAnsi="Arial" w:cs="Arial"/>
        </w:rPr>
        <w:t xml:space="preserve"> </w:t>
      </w:r>
      <w:r w:rsidR="0049790B" w:rsidRPr="00803293">
        <w:rPr>
          <w:rFonts w:ascii="Arial" w:hAnsi="Arial" w:cs="Arial"/>
        </w:rPr>
        <w:t>operation</w:t>
      </w:r>
      <w:r w:rsidR="0049790B">
        <w:rPr>
          <w:rFonts w:ascii="Arial" w:hAnsi="Arial" w:cs="Arial"/>
        </w:rPr>
        <w:t xml:space="preserve"> </w:t>
      </w:r>
      <w:r w:rsidR="0049790B" w:rsidRPr="00803293">
        <w:rPr>
          <w:rFonts w:ascii="Arial" w:hAnsi="Arial" w:cs="Arial"/>
        </w:rPr>
        <w:t>by</w:t>
      </w:r>
      <w:r w:rsidR="0049790B">
        <w:rPr>
          <w:rFonts w:ascii="Arial" w:hAnsi="Arial" w:cs="Arial"/>
        </w:rPr>
        <w:t xml:space="preserve"> </w:t>
      </w:r>
      <w:r w:rsidR="0049790B" w:rsidRPr="00803293">
        <w:rPr>
          <w:rFonts w:ascii="Arial" w:hAnsi="Arial" w:cs="Arial"/>
        </w:rPr>
        <w:t>2026;</w:t>
      </w:r>
      <w:r w:rsidR="0049790B">
        <w:rPr>
          <w:rFonts w:ascii="Arial" w:hAnsi="Arial" w:cs="Arial"/>
        </w:rPr>
        <w:t xml:space="preserve"> </w:t>
      </w:r>
      <w:r w:rsidR="0049790B" w:rsidRPr="00803293">
        <w:rPr>
          <w:rFonts w:ascii="Arial" w:hAnsi="Arial" w:cs="Arial"/>
        </w:rPr>
        <w:t>13</w:t>
      </w:r>
      <w:r w:rsidR="0049790B">
        <w:rPr>
          <w:rFonts w:ascii="Arial" w:hAnsi="Arial" w:cs="Arial"/>
        </w:rPr>
        <w:t xml:space="preserve"> </w:t>
      </w:r>
      <w:r w:rsidR="0049790B" w:rsidRPr="00803293">
        <w:rPr>
          <w:rFonts w:ascii="Arial" w:hAnsi="Arial" w:cs="Arial"/>
        </w:rPr>
        <w:t>to</w:t>
      </w:r>
      <w:r w:rsidR="0049790B">
        <w:rPr>
          <w:rFonts w:ascii="Arial" w:hAnsi="Arial" w:cs="Arial"/>
        </w:rPr>
        <w:t xml:space="preserve"> </w:t>
      </w:r>
      <w:r w:rsidR="0049790B" w:rsidRPr="00803293">
        <w:rPr>
          <w:rFonts w:ascii="Arial" w:hAnsi="Arial" w:cs="Arial"/>
        </w:rPr>
        <w:t>15</w:t>
      </w:r>
      <w:r w:rsidR="0049790B">
        <w:rPr>
          <w:rFonts w:ascii="Arial" w:hAnsi="Arial" w:cs="Arial"/>
        </w:rPr>
        <w:t xml:space="preserve"> </w:t>
      </w:r>
      <w:r w:rsidR="0049790B" w:rsidRPr="00803293">
        <w:rPr>
          <w:rFonts w:ascii="Arial" w:hAnsi="Arial" w:cs="Arial"/>
        </w:rPr>
        <w:t>lines</w:t>
      </w:r>
      <w:r w:rsidR="0049790B">
        <w:rPr>
          <w:rFonts w:ascii="Arial" w:hAnsi="Arial" w:cs="Arial"/>
        </w:rPr>
        <w:t xml:space="preserve"> </w:t>
      </w:r>
      <w:r w:rsidR="0049790B" w:rsidRPr="00803293">
        <w:rPr>
          <w:rFonts w:ascii="Arial" w:hAnsi="Arial" w:cs="Arial"/>
        </w:rPr>
        <w:t>are</w:t>
      </w:r>
      <w:r w:rsidR="0049790B">
        <w:rPr>
          <w:rFonts w:ascii="Arial" w:hAnsi="Arial" w:cs="Arial"/>
        </w:rPr>
        <w:t xml:space="preserve"> </w:t>
      </w:r>
      <w:r w:rsidR="0049790B" w:rsidRPr="00803293">
        <w:rPr>
          <w:rFonts w:ascii="Arial" w:hAnsi="Arial" w:cs="Arial"/>
        </w:rPr>
        <w:t>expected</w:t>
      </w:r>
      <w:r w:rsidR="0049790B">
        <w:rPr>
          <w:rFonts w:ascii="Arial" w:hAnsi="Arial" w:cs="Arial"/>
        </w:rPr>
        <w:t xml:space="preserve"> to be in operation by the time of the Interim Network (approximately 2035); and 19 to 23 lines are expected to be in operation by the time of the 2050 Network</w:t>
      </w:r>
      <w:r w:rsidR="00E20860">
        <w:rPr>
          <w:rFonts w:ascii="Arial" w:hAnsi="Arial" w:cs="Arial"/>
        </w:rPr>
        <w:t xml:space="preserve">. </w:t>
      </w:r>
      <w:r w:rsidR="00E973CA">
        <w:rPr>
          <w:rFonts w:ascii="Arial" w:hAnsi="Arial" w:cs="Arial"/>
        </w:rPr>
        <w:t xml:space="preserve">The three to five new lines to be included in the Interim Network are to include the K and R lines, as well as one to three </w:t>
      </w:r>
      <w:r w:rsidR="00062976">
        <w:rPr>
          <w:rFonts w:ascii="Arial" w:hAnsi="Arial" w:cs="Arial"/>
        </w:rPr>
        <w:t>lines to be selected through a RapidRide Prioritization Plan, which is due to the Council by June 30, 2024.</w:t>
      </w:r>
      <w:r w:rsidR="00062976">
        <w:rPr>
          <w:rStyle w:val="FootnoteReference"/>
          <w:rFonts w:ascii="Arial" w:hAnsi="Arial" w:cs="Arial"/>
        </w:rPr>
        <w:footnoteReference w:id="46"/>
      </w:r>
      <w:r w:rsidR="00062976">
        <w:rPr>
          <w:rFonts w:ascii="Arial" w:hAnsi="Arial" w:cs="Arial"/>
        </w:rPr>
        <w:t xml:space="preserve"> </w:t>
      </w:r>
    </w:p>
    <w:p w14:paraId="6C6BB6D1" w14:textId="7B514EDB" w:rsidR="0037015D" w:rsidRDefault="0037015D" w:rsidP="008A5CF4">
      <w:pPr>
        <w:spacing w:line="264" w:lineRule="auto"/>
        <w:contextualSpacing/>
        <w:rPr>
          <w:rFonts w:ascii="Arial" w:hAnsi="Arial" w:cs="Arial"/>
          <w:szCs w:val="24"/>
        </w:rPr>
      </w:pPr>
    </w:p>
    <w:p w14:paraId="794B2D27" w14:textId="5FB25FCF" w:rsidR="0037015D" w:rsidRDefault="00CB3C52" w:rsidP="00341557">
      <w:pPr>
        <w:spacing w:line="264" w:lineRule="auto"/>
        <w:contextualSpacing/>
        <w:jc w:val="both"/>
        <w:rPr>
          <w:rFonts w:ascii="Arial" w:hAnsi="Arial" w:cs="Arial"/>
          <w:szCs w:val="24"/>
        </w:rPr>
      </w:pPr>
      <w:r>
        <w:rPr>
          <w:rFonts w:ascii="Arial" w:hAnsi="Arial" w:cs="Arial"/>
          <w:szCs w:val="24"/>
        </w:rPr>
        <w:t xml:space="preserve">The proposed budget indicates that the R Line will be prioritized </w:t>
      </w:r>
      <w:r w:rsidR="00AD5D89">
        <w:rPr>
          <w:rFonts w:ascii="Arial" w:hAnsi="Arial" w:cs="Arial"/>
          <w:szCs w:val="24"/>
        </w:rPr>
        <w:t>next, with substantial completion anticipated by 2028, and with a forecasted total budget of $1</w:t>
      </w:r>
      <w:r w:rsidR="00341557">
        <w:rPr>
          <w:rFonts w:ascii="Arial" w:hAnsi="Arial" w:cs="Arial"/>
          <w:szCs w:val="24"/>
        </w:rPr>
        <w:t>30 million</w:t>
      </w:r>
      <w:r w:rsidR="00AD5D89">
        <w:rPr>
          <w:rFonts w:ascii="Arial" w:hAnsi="Arial" w:cs="Arial"/>
          <w:szCs w:val="24"/>
        </w:rPr>
        <w:t xml:space="preserve">. The K Line </w:t>
      </w:r>
      <w:r w:rsidR="00180A9A">
        <w:rPr>
          <w:rFonts w:ascii="Arial" w:hAnsi="Arial" w:cs="Arial"/>
          <w:szCs w:val="24"/>
        </w:rPr>
        <w:t xml:space="preserve">has been assigned a substantial completion date of 2030, with a total forecasted budget through 2028 of $3.8 million. </w:t>
      </w:r>
      <w:r w:rsidR="00C065A3">
        <w:rPr>
          <w:rFonts w:ascii="Arial" w:hAnsi="Arial" w:cs="Arial"/>
          <w:szCs w:val="24"/>
        </w:rPr>
        <w:t>A potential third line, dubbed the L Line</w:t>
      </w:r>
      <w:r w:rsidR="007A7C5A">
        <w:rPr>
          <w:rFonts w:ascii="Arial" w:hAnsi="Arial" w:cs="Arial"/>
          <w:szCs w:val="24"/>
        </w:rPr>
        <w:t>, with location to be determined by the RapidRide Prioritization Plan,</w:t>
      </w:r>
      <w:r w:rsidR="009F1373">
        <w:rPr>
          <w:rStyle w:val="FootnoteReference"/>
          <w:rFonts w:ascii="Arial" w:hAnsi="Arial" w:cs="Arial"/>
          <w:szCs w:val="24"/>
        </w:rPr>
        <w:footnoteReference w:id="47"/>
      </w:r>
      <w:r w:rsidR="007A7C5A">
        <w:rPr>
          <w:rFonts w:ascii="Arial" w:hAnsi="Arial" w:cs="Arial"/>
          <w:szCs w:val="24"/>
        </w:rPr>
        <w:t xml:space="preserve"> has a total forecasted budget through 2028 of $5 million. </w:t>
      </w:r>
      <w:r w:rsidR="00180A9A">
        <w:rPr>
          <w:rFonts w:ascii="Arial" w:hAnsi="Arial" w:cs="Arial"/>
          <w:szCs w:val="24"/>
        </w:rPr>
        <w:t xml:space="preserve"> </w:t>
      </w:r>
    </w:p>
    <w:p w14:paraId="7ADD6D18" w14:textId="257A7B8A" w:rsidR="00FD3895" w:rsidRPr="00B2433E" w:rsidRDefault="00FD3895" w:rsidP="008A5CF4">
      <w:pPr>
        <w:spacing w:line="264" w:lineRule="auto"/>
        <w:contextualSpacing/>
        <w:rPr>
          <w:rFonts w:ascii="Arial" w:hAnsi="Arial" w:cs="Arial"/>
          <w:szCs w:val="24"/>
        </w:rPr>
      </w:pPr>
    </w:p>
    <w:sectPr w:rsidR="00FD3895" w:rsidRPr="00B2433E" w:rsidSect="008E7755">
      <w:footerReference w:type="even" r:id="rId11"/>
      <w:footerReference w:type="default" r:id="rId12"/>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7572E" w14:textId="77777777" w:rsidR="00102F8D" w:rsidRDefault="00102F8D">
      <w:r>
        <w:separator/>
      </w:r>
    </w:p>
  </w:endnote>
  <w:endnote w:type="continuationSeparator" w:id="0">
    <w:p w14:paraId="4C6A1006" w14:textId="77777777" w:rsidR="00102F8D" w:rsidRDefault="0010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6D38" w14:textId="77777777" w:rsidR="00FD1A00" w:rsidRDefault="005700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AF8E7" w14:textId="77777777" w:rsidR="00FD1A00" w:rsidRDefault="000873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3672" w14:textId="6361CE0E" w:rsidR="00FD1A00" w:rsidRDefault="00087369">
    <w:pPr>
      <w:pStyle w:val="Footer"/>
      <w:jc w:val="center"/>
    </w:pPr>
  </w:p>
  <w:p w14:paraId="35088CA8" w14:textId="77777777" w:rsidR="00FD1A00" w:rsidRDefault="00087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974A" w14:textId="77777777" w:rsidR="00102F8D" w:rsidRDefault="00102F8D">
      <w:r>
        <w:separator/>
      </w:r>
    </w:p>
  </w:footnote>
  <w:footnote w:type="continuationSeparator" w:id="0">
    <w:p w14:paraId="075F5785" w14:textId="77777777" w:rsidR="00102F8D" w:rsidRDefault="00102F8D">
      <w:r>
        <w:continuationSeparator/>
      </w:r>
    </w:p>
  </w:footnote>
  <w:footnote w:id="1">
    <w:p w14:paraId="08A137B4" w14:textId="77777777" w:rsidR="00C34CDD" w:rsidRPr="007645CA" w:rsidRDefault="00C34CDD" w:rsidP="00C34CDD">
      <w:pPr>
        <w:pStyle w:val="FootnoteText"/>
        <w:rPr>
          <w:rFonts w:ascii="Arial" w:hAnsi="Arial" w:cs="Arial"/>
        </w:rPr>
      </w:pPr>
      <w:r w:rsidRPr="007645CA">
        <w:rPr>
          <w:rStyle w:val="FootnoteReference"/>
          <w:rFonts w:ascii="Arial" w:hAnsi="Arial" w:cs="Arial"/>
        </w:rPr>
        <w:footnoteRef/>
      </w:r>
      <w:r w:rsidRPr="007645CA">
        <w:rPr>
          <w:rFonts w:ascii="Arial" w:hAnsi="Arial" w:cs="Arial"/>
        </w:rPr>
        <w:t xml:space="preserve"> </w:t>
      </w:r>
      <w:r>
        <w:rPr>
          <w:rFonts w:ascii="Arial" w:hAnsi="Arial" w:cs="Arial"/>
        </w:rPr>
        <w:t>T</w:t>
      </w:r>
      <w:r w:rsidRPr="007645CA">
        <w:rPr>
          <w:rFonts w:ascii="Arial" w:hAnsi="Arial" w:cs="Arial"/>
        </w:rPr>
        <w:t>he current collective bargaining agreement with ATU Local 587 (Ordinance 19145) expires October 31, 2022.</w:t>
      </w:r>
      <w:r>
        <w:rPr>
          <w:rFonts w:ascii="Arial" w:hAnsi="Arial" w:cs="Arial"/>
        </w:rPr>
        <w:t xml:space="preserve"> ATU is not part of the Coalition Labor Agreement. </w:t>
      </w:r>
      <w:r w:rsidRPr="003E4101">
        <w:rPr>
          <w:rFonts w:ascii="Arial" w:hAnsi="Arial" w:cs="Arial"/>
        </w:rPr>
        <w:t xml:space="preserve">Two bargaining units (PROTEC 17 Transit Chiefs and PROTEC 17 Transit Superintendents) voted </w:t>
      </w:r>
      <w:r>
        <w:rPr>
          <w:rFonts w:ascii="Arial" w:hAnsi="Arial" w:cs="Arial"/>
        </w:rPr>
        <w:t>earlier this year</w:t>
      </w:r>
      <w:r w:rsidRPr="003E4101">
        <w:rPr>
          <w:rFonts w:ascii="Arial" w:hAnsi="Arial" w:cs="Arial"/>
        </w:rPr>
        <w:t xml:space="preserve"> to reject the Coalition Labor Agreement (Ordinance 19489) and </w:t>
      </w:r>
      <w:r>
        <w:rPr>
          <w:rFonts w:ascii="Arial" w:hAnsi="Arial" w:cs="Arial"/>
        </w:rPr>
        <w:t>are</w:t>
      </w:r>
      <w:r w:rsidRPr="003E4101">
        <w:rPr>
          <w:rFonts w:ascii="Arial" w:hAnsi="Arial" w:cs="Arial"/>
        </w:rPr>
        <w:t xml:space="preserve"> pursuing mediation. </w:t>
      </w:r>
      <w:r>
        <w:rPr>
          <w:rFonts w:ascii="Arial" w:hAnsi="Arial" w:cs="Arial"/>
        </w:rPr>
        <w:t xml:space="preserve"> </w:t>
      </w:r>
    </w:p>
  </w:footnote>
  <w:footnote w:id="2">
    <w:p w14:paraId="35885553" w14:textId="0368B5ED" w:rsidR="0052355A" w:rsidRPr="00A535F2" w:rsidRDefault="0052355A">
      <w:pPr>
        <w:pStyle w:val="FootnoteText"/>
        <w:rPr>
          <w:rFonts w:ascii="Arial" w:hAnsi="Arial" w:cs="Arial"/>
        </w:rPr>
      </w:pPr>
      <w:r w:rsidRPr="00A535F2">
        <w:rPr>
          <w:rStyle w:val="FootnoteReference"/>
          <w:rFonts w:ascii="Arial" w:hAnsi="Arial" w:cs="Arial"/>
        </w:rPr>
        <w:footnoteRef/>
      </w:r>
      <w:r w:rsidRPr="00A535F2">
        <w:rPr>
          <w:rFonts w:ascii="Arial" w:hAnsi="Arial" w:cs="Arial"/>
        </w:rPr>
        <w:t xml:space="preserve"> Ordinance 19367</w:t>
      </w:r>
    </w:p>
  </w:footnote>
  <w:footnote w:id="3">
    <w:p w14:paraId="09560B4F" w14:textId="77777777" w:rsidR="004D71A9" w:rsidRPr="006A14B5" w:rsidRDefault="004D71A9" w:rsidP="004D71A9">
      <w:pPr>
        <w:pStyle w:val="FootnoteText"/>
        <w:rPr>
          <w:rFonts w:ascii="Arial" w:hAnsi="Arial" w:cs="Arial"/>
        </w:rPr>
      </w:pPr>
      <w:r w:rsidRPr="006A14B5">
        <w:rPr>
          <w:rStyle w:val="FootnoteReference"/>
          <w:rFonts w:ascii="Arial" w:hAnsi="Arial" w:cs="Arial"/>
        </w:rPr>
        <w:footnoteRef/>
      </w:r>
      <w:r w:rsidRPr="006A14B5">
        <w:rPr>
          <w:rFonts w:ascii="Arial" w:hAnsi="Arial" w:cs="Arial"/>
        </w:rPr>
        <w:t xml:space="preserve"> Ordinance 19210</w:t>
      </w:r>
    </w:p>
  </w:footnote>
  <w:footnote w:id="4">
    <w:p w14:paraId="64D4DD5A" w14:textId="132A5BC2" w:rsidR="00427304" w:rsidRPr="00CF77B7" w:rsidRDefault="00427304" w:rsidP="00427304">
      <w:pPr>
        <w:pStyle w:val="FootnoteText"/>
        <w:rPr>
          <w:rFonts w:ascii="Arial" w:hAnsi="Arial" w:cs="Arial"/>
        </w:rPr>
      </w:pPr>
      <w:r w:rsidRPr="00CF77B7">
        <w:rPr>
          <w:rStyle w:val="FootnoteReference"/>
          <w:rFonts w:ascii="Arial" w:hAnsi="Arial" w:cs="Arial"/>
        </w:rPr>
        <w:footnoteRef/>
      </w:r>
      <w:r w:rsidRPr="00CF77B7">
        <w:rPr>
          <w:rFonts w:ascii="Arial" w:hAnsi="Arial" w:cs="Arial"/>
        </w:rPr>
        <w:t xml:space="preserve"> Since the start of the pandemic, Metro has been allocated </w:t>
      </w:r>
      <w:r>
        <w:rPr>
          <w:rFonts w:ascii="Arial" w:hAnsi="Arial" w:cs="Arial"/>
        </w:rPr>
        <w:t xml:space="preserve">a total of </w:t>
      </w:r>
      <w:r w:rsidRPr="008E77FD">
        <w:rPr>
          <w:rFonts w:ascii="Arial" w:hAnsi="Arial" w:cs="Arial"/>
          <w:b/>
          <w:bCs/>
        </w:rPr>
        <w:t>$897 million</w:t>
      </w:r>
      <w:r>
        <w:rPr>
          <w:rFonts w:ascii="Arial" w:hAnsi="Arial" w:cs="Arial"/>
        </w:rPr>
        <w:t xml:space="preserve"> in </w:t>
      </w:r>
      <w:r w:rsidRPr="00CF77B7">
        <w:rPr>
          <w:rFonts w:ascii="Arial" w:hAnsi="Arial" w:cs="Arial"/>
        </w:rPr>
        <w:t xml:space="preserve">three tranches of federal aid through the Puget Sound Regional Council. In </w:t>
      </w:r>
      <w:r>
        <w:rPr>
          <w:rFonts w:ascii="Arial" w:hAnsi="Arial" w:cs="Arial"/>
        </w:rPr>
        <w:t xml:space="preserve">March 2020, Congress passed the </w:t>
      </w:r>
      <w:r w:rsidRPr="00CF77B7">
        <w:rPr>
          <w:rFonts w:ascii="Arial" w:hAnsi="Arial" w:cs="Arial"/>
        </w:rPr>
        <w:t>Coronavirus Aid, Relief, and Economic Security (</w:t>
      </w:r>
      <w:r w:rsidRPr="00CF77B7">
        <w:rPr>
          <w:rFonts w:ascii="Arial" w:hAnsi="Arial" w:cs="Arial"/>
          <w:b/>
          <w:bCs/>
        </w:rPr>
        <w:t>CARES</w:t>
      </w:r>
      <w:r w:rsidRPr="00CF77B7">
        <w:rPr>
          <w:rFonts w:ascii="Arial" w:hAnsi="Arial" w:cs="Arial"/>
        </w:rPr>
        <w:t>) Act</w:t>
      </w:r>
      <w:r>
        <w:rPr>
          <w:rFonts w:ascii="Arial" w:hAnsi="Arial" w:cs="Arial"/>
        </w:rPr>
        <w:t>, from which</w:t>
      </w:r>
      <w:r w:rsidRPr="00CF77B7">
        <w:rPr>
          <w:rFonts w:ascii="Arial" w:hAnsi="Arial" w:cs="Arial"/>
        </w:rPr>
        <w:t xml:space="preserve"> Metro was allocated </w:t>
      </w:r>
      <w:r w:rsidRPr="00CF77B7">
        <w:rPr>
          <w:rFonts w:ascii="Arial" w:hAnsi="Arial" w:cs="Arial"/>
          <w:b/>
          <w:bCs/>
        </w:rPr>
        <w:t>$243.7 million</w:t>
      </w:r>
      <w:r w:rsidRPr="00CF77B7">
        <w:rPr>
          <w:rFonts w:ascii="Arial" w:hAnsi="Arial" w:cs="Arial"/>
        </w:rPr>
        <w:t xml:space="preserve"> </w:t>
      </w:r>
      <w:r>
        <w:rPr>
          <w:rFonts w:ascii="Arial" w:hAnsi="Arial" w:cs="Arial"/>
        </w:rPr>
        <w:t>in April 2020</w:t>
      </w:r>
      <w:r w:rsidRPr="00CF77B7">
        <w:rPr>
          <w:rFonts w:ascii="Arial" w:hAnsi="Arial" w:cs="Arial"/>
        </w:rPr>
        <w:t>. Metro used this funding to cover the revenue losses and emergency operational expenses during the early months of the pandemic, fully expending the funds by the end of 2020</w:t>
      </w:r>
      <w:r w:rsidR="004E3472">
        <w:rPr>
          <w:rFonts w:ascii="Arial" w:hAnsi="Arial" w:cs="Arial"/>
        </w:rPr>
        <w:t xml:space="preserve"> (CARES Act funding was not included </w:t>
      </w:r>
      <w:r w:rsidR="007E21A7">
        <w:rPr>
          <w:rFonts w:ascii="Arial" w:hAnsi="Arial" w:cs="Arial"/>
        </w:rPr>
        <w:t xml:space="preserve">in </w:t>
      </w:r>
      <w:r w:rsidR="004E3472">
        <w:rPr>
          <w:rFonts w:ascii="Arial" w:hAnsi="Arial" w:cs="Arial"/>
        </w:rPr>
        <w:t>the 2021-2022 biennial budget)</w:t>
      </w:r>
      <w:r w:rsidRPr="00CF77B7">
        <w:rPr>
          <w:rFonts w:ascii="Arial" w:hAnsi="Arial" w:cs="Arial"/>
        </w:rPr>
        <w:t xml:space="preserve">. </w:t>
      </w:r>
      <w:r>
        <w:rPr>
          <w:rFonts w:ascii="Arial" w:hAnsi="Arial" w:cs="Arial"/>
        </w:rPr>
        <w:t xml:space="preserve">In December 2020, Congress passed the </w:t>
      </w:r>
      <w:r w:rsidRPr="00CF77B7">
        <w:rPr>
          <w:rFonts w:ascii="Arial" w:hAnsi="Arial" w:cs="Arial"/>
        </w:rPr>
        <w:t>Coronavirus Response and Relief Supplemental Appropriations Act (</w:t>
      </w:r>
      <w:r w:rsidRPr="00CF77B7">
        <w:rPr>
          <w:rFonts w:ascii="Arial" w:hAnsi="Arial" w:cs="Arial"/>
          <w:b/>
          <w:bCs/>
        </w:rPr>
        <w:t>CRRSAA</w:t>
      </w:r>
      <w:r w:rsidRPr="00CF77B7">
        <w:rPr>
          <w:rFonts w:ascii="Arial" w:hAnsi="Arial" w:cs="Arial"/>
        </w:rPr>
        <w:t>)</w:t>
      </w:r>
      <w:r>
        <w:rPr>
          <w:rFonts w:ascii="Arial" w:hAnsi="Arial" w:cs="Arial"/>
        </w:rPr>
        <w:t xml:space="preserve">, from which Metro was allocated </w:t>
      </w:r>
      <w:r w:rsidRPr="00CF77B7">
        <w:rPr>
          <w:rFonts w:ascii="Arial" w:hAnsi="Arial" w:cs="Arial"/>
          <w:b/>
          <w:bCs/>
        </w:rPr>
        <w:t>$258 million</w:t>
      </w:r>
      <w:r w:rsidRPr="00CF77B7">
        <w:rPr>
          <w:rFonts w:ascii="Arial" w:hAnsi="Arial" w:cs="Arial"/>
        </w:rPr>
        <w:t xml:space="preserve"> </w:t>
      </w:r>
      <w:r>
        <w:rPr>
          <w:rFonts w:ascii="Arial" w:hAnsi="Arial" w:cs="Arial"/>
        </w:rPr>
        <w:t>i</w:t>
      </w:r>
      <w:r w:rsidRPr="00CF77B7">
        <w:rPr>
          <w:rFonts w:ascii="Arial" w:hAnsi="Arial" w:cs="Arial"/>
        </w:rPr>
        <w:t>n April 2021</w:t>
      </w:r>
      <w:r>
        <w:rPr>
          <w:rFonts w:ascii="Arial" w:hAnsi="Arial" w:cs="Arial"/>
        </w:rPr>
        <w:t>.</w:t>
      </w:r>
      <w:r w:rsidRPr="00CF77B7">
        <w:rPr>
          <w:rFonts w:ascii="Arial" w:hAnsi="Arial" w:cs="Arial"/>
        </w:rPr>
        <w:t xml:space="preserve"> </w:t>
      </w:r>
      <w:r>
        <w:rPr>
          <w:rFonts w:ascii="Arial" w:hAnsi="Arial" w:cs="Arial"/>
        </w:rPr>
        <w:t>Much of t</w:t>
      </w:r>
      <w:r w:rsidRPr="00CF77B7">
        <w:rPr>
          <w:rFonts w:ascii="Arial" w:hAnsi="Arial" w:cs="Arial"/>
        </w:rPr>
        <w:t xml:space="preserve">his funding </w:t>
      </w:r>
      <w:r>
        <w:rPr>
          <w:rFonts w:ascii="Arial" w:hAnsi="Arial" w:cs="Arial"/>
        </w:rPr>
        <w:t>was incorporated into Metro’s revenue estimates prior to the end of 2020, with the remainder appearing</w:t>
      </w:r>
      <w:r w:rsidRPr="00CF77B7">
        <w:rPr>
          <w:rFonts w:ascii="Arial" w:hAnsi="Arial" w:cs="Arial"/>
        </w:rPr>
        <w:t xml:space="preserve"> in the revenue estimates in the </w:t>
      </w:r>
      <w:r w:rsidR="00E500AB">
        <w:rPr>
          <w:rFonts w:ascii="Arial" w:hAnsi="Arial" w:cs="Arial"/>
        </w:rPr>
        <w:t>mid-biennial budget</w:t>
      </w:r>
      <w:r w:rsidRPr="00CF77B7">
        <w:rPr>
          <w:rFonts w:ascii="Arial" w:hAnsi="Arial" w:cs="Arial"/>
        </w:rPr>
        <w:t xml:space="preserve"> ordinance</w:t>
      </w:r>
      <w:r w:rsidR="00E500AB">
        <w:rPr>
          <w:rFonts w:ascii="Arial" w:hAnsi="Arial" w:cs="Arial"/>
        </w:rPr>
        <w:t xml:space="preserve"> (Ord 19364)</w:t>
      </w:r>
      <w:r w:rsidRPr="00CF77B7">
        <w:rPr>
          <w:rFonts w:ascii="Arial" w:hAnsi="Arial" w:cs="Arial"/>
        </w:rPr>
        <w:t xml:space="preserve">. In </w:t>
      </w:r>
      <w:r>
        <w:rPr>
          <w:rFonts w:ascii="Arial" w:hAnsi="Arial" w:cs="Arial"/>
        </w:rPr>
        <w:t>March 2021, Con</w:t>
      </w:r>
      <w:r w:rsidR="006D3E25">
        <w:rPr>
          <w:rFonts w:ascii="Arial" w:hAnsi="Arial" w:cs="Arial"/>
        </w:rPr>
        <w:t>g</w:t>
      </w:r>
      <w:r>
        <w:rPr>
          <w:rFonts w:ascii="Arial" w:hAnsi="Arial" w:cs="Arial"/>
        </w:rPr>
        <w:t xml:space="preserve">ress passed the </w:t>
      </w:r>
      <w:r w:rsidRPr="00CF77B7">
        <w:rPr>
          <w:rFonts w:ascii="Arial" w:hAnsi="Arial" w:cs="Arial"/>
        </w:rPr>
        <w:t>American Rescue Plan Act (</w:t>
      </w:r>
      <w:r w:rsidRPr="00CF77B7">
        <w:rPr>
          <w:rFonts w:ascii="Arial" w:hAnsi="Arial" w:cs="Arial"/>
          <w:b/>
          <w:bCs/>
        </w:rPr>
        <w:t>ARPA</w:t>
      </w:r>
      <w:r w:rsidRPr="00CF77B7">
        <w:rPr>
          <w:rFonts w:ascii="Arial" w:hAnsi="Arial" w:cs="Arial"/>
        </w:rPr>
        <w:t>)</w:t>
      </w:r>
      <w:r>
        <w:rPr>
          <w:rFonts w:ascii="Arial" w:hAnsi="Arial" w:cs="Arial"/>
        </w:rPr>
        <w:t xml:space="preserve">, from which </w:t>
      </w:r>
      <w:r w:rsidRPr="00CF77B7">
        <w:rPr>
          <w:rFonts w:ascii="Arial" w:hAnsi="Arial" w:cs="Arial"/>
        </w:rPr>
        <w:t xml:space="preserve">Metro was allocated </w:t>
      </w:r>
      <w:r w:rsidRPr="00CF77B7">
        <w:rPr>
          <w:rFonts w:ascii="Arial" w:hAnsi="Arial" w:cs="Arial"/>
          <w:b/>
          <w:bCs/>
        </w:rPr>
        <w:t>$395.6 million</w:t>
      </w:r>
      <w:r w:rsidRPr="00CF77B7">
        <w:rPr>
          <w:rFonts w:ascii="Arial" w:hAnsi="Arial" w:cs="Arial"/>
        </w:rPr>
        <w:t xml:space="preserve"> </w:t>
      </w:r>
      <w:r>
        <w:rPr>
          <w:rFonts w:ascii="Arial" w:hAnsi="Arial" w:cs="Arial"/>
        </w:rPr>
        <w:t>in September 2021.</w:t>
      </w:r>
      <w:r w:rsidRPr="00CF77B7">
        <w:rPr>
          <w:rFonts w:ascii="Arial" w:hAnsi="Arial" w:cs="Arial"/>
        </w:rPr>
        <w:t xml:space="preserve"> This latest round of federal relief funding </w:t>
      </w:r>
      <w:r w:rsidR="00400BA5">
        <w:rPr>
          <w:rFonts w:ascii="Arial" w:hAnsi="Arial" w:cs="Arial"/>
        </w:rPr>
        <w:t>was</w:t>
      </w:r>
      <w:r w:rsidRPr="00CF77B7">
        <w:rPr>
          <w:rFonts w:ascii="Arial" w:hAnsi="Arial" w:cs="Arial"/>
        </w:rPr>
        <w:t xml:space="preserve"> incorporated into Metro’s revenue estimates</w:t>
      </w:r>
      <w:r>
        <w:rPr>
          <w:rFonts w:ascii="Arial" w:hAnsi="Arial" w:cs="Arial"/>
        </w:rPr>
        <w:t xml:space="preserve"> as part of the </w:t>
      </w:r>
      <w:r w:rsidR="00400BA5">
        <w:rPr>
          <w:rFonts w:ascii="Arial" w:hAnsi="Arial" w:cs="Arial"/>
        </w:rPr>
        <w:t xml:space="preserve">mid-biennial budget </w:t>
      </w:r>
      <w:r>
        <w:rPr>
          <w:rFonts w:ascii="Arial" w:hAnsi="Arial" w:cs="Arial"/>
        </w:rPr>
        <w:t>ordinance</w:t>
      </w:r>
      <w:r w:rsidR="00400BA5">
        <w:rPr>
          <w:rFonts w:ascii="Arial" w:hAnsi="Arial" w:cs="Arial"/>
        </w:rPr>
        <w:t xml:space="preserve"> (Ord 19364)</w:t>
      </w:r>
      <w:r w:rsidRPr="00CF77B7">
        <w:rPr>
          <w:rFonts w:ascii="Arial" w:hAnsi="Arial" w:cs="Arial"/>
        </w:rPr>
        <w:t>.</w:t>
      </w:r>
    </w:p>
  </w:footnote>
  <w:footnote w:id="5">
    <w:p w14:paraId="5EA264C9" w14:textId="77777777" w:rsidR="00C1297A" w:rsidRPr="00E91E92" w:rsidRDefault="00C1297A" w:rsidP="00C1297A">
      <w:pPr>
        <w:pStyle w:val="FootnoteText"/>
        <w:rPr>
          <w:rFonts w:ascii="Arial" w:hAnsi="Arial" w:cs="Arial"/>
        </w:rPr>
      </w:pPr>
      <w:r w:rsidRPr="00E91E92">
        <w:rPr>
          <w:rStyle w:val="FootnoteReference"/>
          <w:rFonts w:ascii="Arial" w:hAnsi="Arial" w:cs="Arial"/>
        </w:rPr>
        <w:footnoteRef/>
      </w:r>
      <w:r w:rsidRPr="00E91E92">
        <w:rPr>
          <w:rFonts w:ascii="Arial" w:hAnsi="Arial" w:cs="Arial"/>
        </w:rPr>
        <w:t xml:space="preserve"> Ordinance 19364</w:t>
      </w:r>
    </w:p>
  </w:footnote>
  <w:footnote w:id="6">
    <w:p w14:paraId="649AD52F" w14:textId="77777777" w:rsidR="003C3AEE" w:rsidRPr="00DB0A67" w:rsidRDefault="003C3AEE" w:rsidP="003C3AEE">
      <w:pPr>
        <w:pStyle w:val="FootnoteText"/>
        <w:rPr>
          <w:rFonts w:ascii="Arial" w:hAnsi="Arial" w:cs="Arial"/>
        </w:rPr>
      </w:pPr>
      <w:r w:rsidRPr="00DB0A67">
        <w:rPr>
          <w:rStyle w:val="FootnoteReference"/>
          <w:rFonts w:ascii="Arial" w:hAnsi="Arial" w:cs="Arial"/>
        </w:rPr>
        <w:footnoteRef/>
      </w:r>
      <w:r w:rsidRPr="00DB0A67">
        <w:rPr>
          <w:rFonts w:ascii="Arial" w:hAnsi="Arial" w:cs="Arial"/>
        </w:rPr>
        <w:t xml:space="preserve"> Ordinance 18321</w:t>
      </w:r>
    </w:p>
  </w:footnote>
  <w:footnote w:id="7">
    <w:p w14:paraId="26970895" w14:textId="6422BF39" w:rsidR="0043183D" w:rsidRPr="0043183D" w:rsidRDefault="0043183D">
      <w:pPr>
        <w:pStyle w:val="FootnoteText"/>
        <w:rPr>
          <w:rFonts w:ascii="Arial" w:hAnsi="Arial" w:cs="Arial"/>
        </w:rPr>
      </w:pPr>
      <w:r w:rsidRPr="0043183D">
        <w:rPr>
          <w:rStyle w:val="FootnoteReference"/>
          <w:rFonts w:ascii="Arial" w:hAnsi="Arial" w:cs="Arial"/>
        </w:rPr>
        <w:footnoteRef/>
      </w:r>
      <w:r w:rsidRPr="0043183D">
        <w:rPr>
          <w:rFonts w:ascii="Arial" w:hAnsi="Arial" w:cs="Arial"/>
        </w:rPr>
        <w:t xml:space="preserve"> Proposed Ordinance 2022-0391 would suspend those portions of the fund management policies for </w:t>
      </w:r>
      <w:r>
        <w:rPr>
          <w:rFonts w:ascii="Arial" w:hAnsi="Arial" w:cs="Arial"/>
        </w:rPr>
        <w:t xml:space="preserve">the </w:t>
      </w:r>
      <w:r w:rsidRPr="0043183D">
        <w:rPr>
          <w:rFonts w:ascii="Arial" w:hAnsi="Arial" w:cs="Arial"/>
        </w:rPr>
        <w:t>2023-2024</w:t>
      </w:r>
      <w:r>
        <w:rPr>
          <w:rFonts w:ascii="Arial" w:hAnsi="Arial" w:cs="Arial"/>
        </w:rPr>
        <w:t xml:space="preserve"> biennium</w:t>
      </w:r>
      <w:r w:rsidRPr="0043183D">
        <w:rPr>
          <w:rFonts w:ascii="Arial" w:hAnsi="Arial" w:cs="Arial"/>
        </w:rPr>
        <w:t>.</w:t>
      </w:r>
    </w:p>
  </w:footnote>
  <w:footnote w:id="8">
    <w:p w14:paraId="10170B1B" w14:textId="77777777" w:rsidR="003C3AEE" w:rsidRPr="00110F29" w:rsidRDefault="003C3AEE" w:rsidP="003C3AEE">
      <w:pPr>
        <w:pStyle w:val="FootnoteText"/>
        <w:rPr>
          <w:rFonts w:ascii="Arial" w:hAnsi="Arial" w:cs="Arial"/>
        </w:rPr>
      </w:pPr>
      <w:r w:rsidRPr="00110F29">
        <w:rPr>
          <w:rStyle w:val="FootnoteReference"/>
          <w:rFonts w:ascii="Arial" w:hAnsi="Arial" w:cs="Arial"/>
        </w:rPr>
        <w:footnoteRef/>
      </w:r>
      <w:r w:rsidRPr="00110F29">
        <w:rPr>
          <w:rFonts w:ascii="Arial" w:hAnsi="Arial" w:cs="Arial"/>
        </w:rPr>
        <w:t xml:space="preserve"> Revenue fleet refers to vehicles </w:t>
      </w:r>
      <w:r>
        <w:rPr>
          <w:rFonts w:ascii="Arial" w:hAnsi="Arial" w:cs="Arial"/>
        </w:rPr>
        <w:t xml:space="preserve">used </w:t>
      </w:r>
      <w:r w:rsidRPr="00110F29">
        <w:rPr>
          <w:rFonts w:ascii="Arial" w:hAnsi="Arial" w:cs="Arial"/>
        </w:rPr>
        <w:t>to transport customers, such as buses and Vanpool</w:t>
      </w:r>
      <w:r>
        <w:rPr>
          <w:rFonts w:ascii="Arial" w:hAnsi="Arial" w:cs="Arial"/>
        </w:rPr>
        <w:t xml:space="preserve"> van</w:t>
      </w:r>
      <w:r w:rsidRPr="00110F29">
        <w:rPr>
          <w:rFonts w:ascii="Arial" w:hAnsi="Arial" w:cs="Arial"/>
        </w:rPr>
        <w:t>s, as opposed to vehicles used for internal purposes such as maintenance.</w:t>
      </w:r>
    </w:p>
  </w:footnote>
  <w:footnote w:id="9">
    <w:p w14:paraId="5F11BDAF" w14:textId="77777777" w:rsidR="003C3AEE" w:rsidRDefault="003C3AEE" w:rsidP="003C3AEE">
      <w:pPr>
        <w:pStyle w:val="FootnoteText"/>
      </w:pPr>
      <w:r w:rsidRPr="00306517">
        <w:rPr>
          <w:rStyle w:val="FootnoteReference"/>
          <w:rFonts w:ascii="Arial" w:hAnsi="Arial" w:cs="Arial"/>
        </w:rPr>
        <w:footnoteRef/>
      </w:r>
      <w:r w:rsidRPr="00306517">
        <w:rPr>
          <w:rFonts w:ascii="Arial" w:hAnsi="Arial" w:cs="Arial"/>
        </w:rPr>
        <w:t xml:space="preserve"> </w:t>
      </w:r>
      <w:r w:rsidRPr="00CD3B36">
        <w:rPr>
          <w:rFonts w:ascii="Arial" w:hAnsi="Arial" w:cs="Arial"/>
          <w:szCs w:val="24"/>
        </w:rPr>
        <w:t>Ordinance 18321, Attachment A, Section IV.A</w:t>
      </w:r>
    </w:p>
  </w:footnote>
  <w:footnote w:id="10">
    <w:p w14:paraId="1A9329EB" w14:textId="77777777" w:rsidR="0066510F" w:rsidRDefault="0066510F" w:rsidP="0066510F">
      <w:pPr>
        <w:pStyle w:val="FootnoteText"/>
      </w:pPr>
      <w:r>
        <w:rPr>
          <w:rStyle w:val="FootnoteReference"/>
        </w:rPr>
        <w:footnoteRef/>
      </w:r>
      <w:r>
        <w:t xml:space="preserve"> </w:t>
      </w:r>
      <w:r w:rsidRPr="00D63FDC">
        <w:rPr>
          <w:rFonts w:ascii="Arial" w:hAnsi="Arial" w:cs="Arial"/>
          <w:szCs w:val="24"/>
        </w:rPr>
        <w:t>Ordinance 18321</w:t>
      </w:r>
    </w:p>
  </w:footnote>
  <w:footnote w:id="11">
    <w:p w14:paraId="1ABBE49B" w14:textId="77777777" w:rsidR="0066510F" w:rsidRPr="00170EF5" w:rsidRDefault="0066510F" w:rsidP="0066510F">
      <w:pPr>
        <w:pStyle w:val="FootnoteText"/>
        <w:rPr>
          <w:rFonts w:ascii="Arial" w:hAnsi="Arial" w:cs="Arial"/>
        </w:rPr>
      </w:pPr>
      <w:r w:rsidRPr="00170EF5">
        <w:rPr>
          <w:rStyle w:val="FootnoteReference"/>
          <w:rFonts w:ascii="Arial" w:hAnsi="Arial" w:cs="Arial"/>
        </w:rPr>
        <w:footnoteRef/>
      </w:r>
      <w:r w:rsidRPr="00170EF5">
        <w:rPr>
          <w:rFonts w:ascii="Arial" w:hAnsi="Arial" w:cs="Arial"/>
        </w:rPr>
        <w:t xml:space="preserve"> Ordinance 19367</w:t>
      </w:r>
    </w:p>
  </w:footnote>
  <w:footnote w:id="12">
    <w:p w14:paraId="353DC5AE" w14:textId="77777777" w:rsidR="0066510F" w:rsidRPr="004461D0" w:rsidRDefault="0066510F" w:rsidP="0066510F">
      <w:pPr>
        <w:pStyle w:val="FootnoteText"/>
        <w:rPr>
          <w:rFonts w:ascii="Arial" w:hAnsi="Arial" w:cs="Arial"/>
        </w:rPr>
      </w:pPr>
      <w:r w:rsidRPr="004461D0">
        <w:rPr>
          <w:rStyle w:val="FootnoteReference"/>
          <w:rFonts w:ascii="Arial" w:hAnsi="Arial" w:cs="Arial"/>
        </w:rPr>
        <w:footnoteRef/>
      </w:r>
      <w:r w:rsidRPr="004461D0">
        <w:rPr>
          <w:rFonts w:ascii="Arial" w:hAnsi="Arial" w:cs="Arial"/>
        </w:rPr>
        <w:t xml:space="preserve"> Ordinance 1</w:t>
      </w:r>
      <w:r>
        <w:rPr>
          <w:rFonts w:ascii="Arial" w:hAnsi="Arial" w:cs="Arial"/>
        </w:rPr>
        <w:t>9367</w:t>
      </w:r>
    </w:p>
  </w:footnote>
  <w:footnote w:id="13">
    <w:p w14:paraId="11B1BD1B" w14:textId="77777777" w:rsidR="00F23514" w:rsidRPr="0049751B" w:rsidRDefault="00F23514" w:rsidP="00F23514">
      <w:pPr>
        <w:pStyle w:val="FootnoteText"/>
        <w:rPr>
          <w:rFonts w:ascii="Arial" w:hAnsi="Arial" w:cs="Arial"/>
        </w:rPr>
      </w:pPr>
      <w:r w:rsidRPr="0049751B">
        <w:rPr>
          <w:rStyle w:val="FootnoteReference"/>
          <w:rFonts w:ascii="Arial" w:hAnsi="Arial" w:cs="Arial"/>
        </w:rPr>
        <w:footnoteRef/>
      </w:r>
      <w:r w:rsidRPr="0049751B">
        <w:rPr>
          <w:rFonts w:ascii="Arial" w:hAnsi="Arial" w:cs="Arial"/>
        </w:rPr>
        <w:t xml:space="preserve"> Ordinance 19206</w:t>
      </w:r>
    </w:p>
  </w:footnote>
  <w:footnote w:id="14">
    <w:p w14:paraId="0743075D" w14:textId="54746560" w:rsidR="00ED4BC2" w:rsidRPr="00B60FB9" w:rsidRDefault="00ED4BC2" w:rsidP="00ED4BC2">
      <w:pPr>
        <w:pStyle w:val="FootnoteText"/>
        <w:rPr>
          <w:rFonts w:ascii="Arial" w:hAnsi="Arial" w:cs="Arial"/>
        </w:rPr>
      </w:pPr>
      <w:r w:rsidRPr="00B60FB9">
        <w:rPr>
          <w:rStyle w:val="FootnoteReference"/>
          <w:rFonts w:ascii="Arial" w:hAnsi="Arial" w:cs="Arial"/>
        </w:rPr>
        <w:footnoteRef/>
      </w:r>
      <w:r w:rsidRPr="00B60FB9">
        <w:rPr>
          <w:rFonts w:ascii="Arial" w:hAnsi="Arial" w:cs="Arial"/>
        </w:rPr>
        <w:t xml:space="preserve"> Transit fares were last changed in 201</w:t>
      </w:r>
      <w:r>
        <w:rPr>
          <w:rFonts w:ascii="Arial" w:hAnsi="Arial" w:cs="Arial"/>
        </w:rPr>
        <w:t>8</w:t>
      </w:r>
      <w:r w:rsidRPr="00B60FB9">
        <w:rPr>
          <w:rFonts w:ascii="Arial" w:hAnsi="Arial" w:cs="Arial"/>
        </w:rPr>
        <w:t xml:space="preserve"> (Ordinance 18608), as part of a fare change that eliminated zone and peak fare differentials and set a flat adult fare of $2.75. Prior to </w:t>
      </w:r>
      <w:r>
        <w:rPr>
          <w:rFonts w:ascii="Arial" w:hAnsi="Arial" w:cs="Arial"/>
        </w:rPr>
        <w:t>that change</w:t>
      </w:r>
      <w:r w:rsidRPr="00B60FB9">
        <w:rPr>
          <w:rFonts w:ascii="Arial" w:hAnsi="Arial" w:cs="Arial"/>
        </w:rPr>
        <w:t xml:space="preserve">, fare increases of $0.25 </w:t>
      </w:r>
      <w:r>
        <w:rPr>
          <w:rFonts w:ascii="Arial" w:hAnsi="Arial" w:cs="Arial"/>
        </w:rPr>
        <w:t xml:space="preserve">were implemented in </w:t>
      </w:r>
      <w:r w:rsidRPr="00B60FB9">
        <w:rPr>
          <w:rFonts w:ascii="Arial" w:hAnsi="Arial" w:cs="Arial"/>
        </w:rPr>
        <w:t>2001, 2008, 2009, 2010, 2011, and 2015</w:t>
      </w:r>
      <w:r>
        <w:rPr>
          <w:rFonts w:ascii="Arial" w:hAnsi="Arial" w:cs="Arial"/>
        </w:rPr>
        <w:t xml:space="preserve">. </w:t>
      </w:r>
    </w:p>
  </w:footnote>
  <w:footnote w:id="15">
    <w:p w14:paraId="274FE052" w14:textId="77777777" w:rsidR="00C93F13" w:rsidRPr="00977C56" w:rsidRDefault="00C93F13" w:rsidP="00C93F13">
      <w:pPr>
        <w:pStyle w:val="FootnoteText"/>
        <w:rPr>
          <w:rFonts w:ascii="Arial" w:hAnsi="Arial" w:cs="Arial"/>
        </w:rPr>
      </w:pPr>
      <w:r w:rsidRPr="00977C56">
        <w:rPr>
          <w:rStyle w:val="FootnoteReference"/>
          <w:rFonts w:ascii="Arial" w:hAnsi="Arial" w:cs="Arial"/>
        </w:rPr>
        <w:footnoteRef/>
      </w:r>
      <w:r w:rsidRPr="00977C56">
        <w:rPr>
          <w:rFonts w:ascii="Arial" w:hAnsi="Arial" w:cs="Arial"/>
        </w:rPr>
        <w:t xml:space="preserve"> KCC 28.94.020.B.2.a. states that “</w:t>
      </w:r>
      <w:r w:rsidRPr="00977C56">
        <w:rPr>
          <w:rFonts w:ascii="Arial" w:hAnsi="Arial" w:cs="Arial"/>
          <w:spacing w:val="-2"/>
        </w:rPr>
        <w:t>if, in the opinion of the director, an emergency exists that requires any change to established routes, schedules or classes of service, the director may implement such a change for such a period as may be necessary in the director's judgment or until such a time as the council shall establish by ordinance otherwise.  Such changes that the director intends to be permanent shall be reported in writing to the chair of the council.</w:t>
      </w:r>
      <w:r w:rsidRPr="00977C56">
        <w:rPr>
          <w:rFonts w:ascii="Arial" w:hAnsi="Arial" w:cs="Arial"/>
        </w:rPr>
        <w:t>”</w:t>
      </w:r>
    </w:p>
  </w:footnote>
  <w:footnote w:id="16">
    <w:p w14:paraId="083A7A48" w14:textId="2BDE1502" w:rsidR="00FF7A01" w:rsidRPr="008C3DDD" w:rsidRDefault="00FF7A01">
      <w:pPr>
        <w:pStyle w:val="FootnoteText"/>
        <w:rPr>
          <w:rFonts w:ascii="Arial" w:hAnsi="Arial" w:cs="Arial"/>
        </w:rPr>
      </w:pPr>
      <w:r w:rsidRPr="008C3DDD">
        <w:rPr>
          <w:rStyle w:val="FootnoteReference"/>
          <w:rFonts w:ascii="Arial" w:hAnsi="Arial" w:cs="Arial"/>
        </w:rPr>
        <w:footnoteRef/>
      </w:r>
      <w:r w:rsidRPr="008C3DDD">
        <w:rPr>
          <w:rFonts w:ascii="Arial" w:hAnsi="Arial" w:cs="Arial"/>
        </w:rPr>
        <w:t xml:space="preserve"> </w:t>
      </w:r>
      <w:r w:rsidR="008F7BEE" w:rsidRPr="008C3DDD">
        <w:rPr>
          <w:rFonts w:ascii="Arial" w:hAnsi="Arial" w:cs="Arial"/>
        </w:rPr>
        <w:t xml:space="preserve">Routes with full suspension: Routes 19, 37, 47, 116, 118X, 119X, 122, 123, 143, 154, 157, 178, 179, 197, 200, 219, 252, 931. </w:t>
      </w:r>
      <w:r w:rsidR="008C3DDD" w:rsidRPr="008C3DDD">
        <w:rPr>
          <w:rFonts w:ascii="Arial" w:hAnsi="Arial" w:cs="Arial"/>
        </w:rPr>
        <w:t>Routes with partial suspension: Routes 3, 4, 7, 8, 9, 11, 12, 15X, 16X, 17X, 18X, 21X, 22, 24, 27, 28, 29, 31, 32, 33, 40, 45, 55, 56, 62, 64, 75, 79, 101, 102, 107, 111, 113, 114, 118, 119, 131, 231, 255, 631, 120, 121, 162, 167, 177, 190, 204, 212, 214, 216, 218, 221, 226, 232, 240, 241, 245, 249, 250, 257, 268, 269, 271, 301, 303, 304, 311, 320, 322, 342, 346, 347, 348, 372, 630, 901, 903, 906, 914, 915, C Line, D Line, E Line.</w:t>
      </w:r>
    </w:p>
  </w:footnote>
  <w:footnote w:id="17">
    <w:p w14:paraId="2FF98A1D" w14:textId="644E458B" w:rsidR="00404302" w:rsidRPr="00404302" w:rsidRDefault="00404302">
      <w:pPr>
        <w:pStyle w:val="FootnoteText"/>
        <w:rPr>
          <w:rFonts w:ascii="Arial" w:hAnsi="Arial" w:cs="Arial"/>
        </w:rPr>
      </w:pPr>
      <w:r w:rsidRPr="00404302">
        <w:rPr>
          <w:rStyle w:val="FootnoteReference"/>
          <w:rFonts w:ascii="Arial" w:hAnsi="Arial" w:cs="Arial"/>
        </w:rPr>
        <w:footnoteRef/>
      </w:r>
      <w:r w:rsidRPr="00404302">
        <w:rPr>
          <w:rFonts w:ascii="Arial" w:hAnsi="Arial" w:cs="Arial"/>
        </w:rPr>
        <w:t xml:space="preserve"> Ordinance 19012</w:t>
      </w:r>
    </w:p>
  </w:footnote>
  <w:footnote w:id="18">
    <w:p w14:paraId="1C53E3F0" w14:textId="77777777" w:rsidR="00E8619A" w:rsidRPr="00360B5F" w:rsidRDefault="00E8619A" w:rsidP="00E8619A">
      <w:pPr>
        <w:pStyle w:val="FootnoteText"/>
        <w:rPr>
          <w:rFonts w:ascii="Arial" w:hAnsi="Arial" w:cs="Arial"/>
        </w:rPr>
      </w:pPr>
      <w:r w:rsidRPr="00360B5F">
        <w:rPr>
          <w:rStyle w:val="FootnoteReference"/>
          <w:rFonts w:ascii="Arial" w:hAnsi="Arial" w:cs="Arial"/>
        </w:rPr>
        <w:footnoteRef/>
      </w:r>
      <w:r w:rsidRPr="00360B5F">
        <w:rPr>
          <w:rFonts w:ascii="Arial" w:hAnsi="Arial" w:cs="Arial"/>
        </w:rPr>
        <w:t xml:space="preserve"> Ordinance 19422</w:t>
      </w:r>
    </w:p>
  </w:footnote>
  <w:footnote w:id="19">
    <w:p w14:paraId="6A56BFCF" w14:textId="2C5CB8F1" w:rsidR="00C74FB4" w:rsidRPr="00C74FB4" w:rsidRDefault="00C74FB4">
      <w:pPr>
        <w:pStyle w:val="FootnoteText"/>
        <w:rPr>
          <w:rFonts w:ascii="Arial" w:hAnsi="Arial" w:cs="Arial"/>
        </w:rPr>
      </w:pPr>
      <w:r w:rsidRPr="00C74FB4">
        <w:rPr>
          <w:rStyle w:val="FootnoteReference"/>
          <w:rFonts w:ascii="Arial" w:hAnsi="Arial" w:cs="Arial"/>
        </w:rPr>
        <w:footnoteRef/>
      </w:r>
      <w:r w:rsidRPr="00C74FB4">
        <w:rPr>
          <w:rFonts w:ascii="Arial" w:hAnsi="Arial" w:cs="Arial"/>
        </w:rPr>
        <w:t xml:space="preserve"> Ordinance 19240</w:t>
      </w:r>
    </w:p>
  </w:footnote>
  <w:footnote w:id="20">
    <w:p w14:paraId="4A066568" w14:textId="08161FCB" w:rsidR="00D37E06" w:rsidRPr="00D37E06" w:rsidRDefault="00D37E06">
      <w:pPr>
        <w:pStyle w:val="FootnoteText"/>
        <w:rPr>
          <w:rFonts w:ascii="Arial" w:hAnsi="Arial" w:cs="Arial"/>
        </w:rPr>
      </w:pPr>
      <w:r w:rsidRPr="00D37E06">
        <w:rPr>
          <w:rStyle w:val="FootnoteReference"/>
          <w:rFonts w:ascii="Arial" w:hAnsi="Arial" w:cs="Arial"/>
        </w:rPr>
        <w:footnoteRef/>
      </w:r>
      <w:r w:rsidRPr="00D37E06">
        <w:rPr>
          <w:rFonts w:ascii="Arial" w:hAnsi="Arial" w:cs="Arial"/>
        </w:rPr>
        <w:t xml:space="preserve"> Reflects Sound Transit express bus service hours planned to be reduced following the opening of future Link light rail extensions.</w:t>
      </w:r>
    </w:p>
  </w:footnote>
  <w:footnote w:id="21">
    <w:p w14:paraId="69C0A34E" w14:textId="48CB0162" w:rsidR="00DC23C9" w:rsidRPr="004245E1" w:rsidRDefault="00DC23C9">
      <w:pPr>
        <w:pStyle w:val="FootnoteText"/>
        <w:rPr>
          <w:rFonts w:ascii="Arial" w:hAnsi="Arial" w:cs="Arial"/>
        </w:rPr>
      </w:pPr>
      <w:r w:rsidRPr="004245E1">
        <w:rPr>
          <w:rStyle w:val="FootnoteReference"/>
          <w:rFonts w:ascii="Arial" w:hAnsi="Arial" w:cs="Arial"/>
        </w:rPr>
        <w:footnoteRef/>
      </w:r>
      <w:r w:rsidRPr="004245E1">
        <w:rPr>
          <w:rFonts w:ascii="Arial" w:hAnsi="Arial" w:cs="Arial"/>
        </w:rPr>
        <w:t xml:space="preserve"> </w:t>
      </w:r>
      <w:r w:rsidRPr="004245E1">
        <w:rPr>
          <w:rFonts w:ascii="Arial" w:hAnsi="Arial" w:cs="Arial"/>
          <w:szCs w:val="24"/>
        </w:rPr>
        <w:t>This is a capital project. It is discussed here due to the potential impact on ridership.</w:t>
      </w:r>
    </w:p>
  </w:footnote>
  <w:footnote w:id="22">
    <w:p w14:paraId="3F07B00B" w14:textId="7B3BDDDD" w:rsidR="00B80803" w:rsidRPr="00B80803" w:rsidRDefault="00B80803">
      <w:pPr>
        <w:pStyle w:val="FootnoteText"/>
        <w:rPr>
          <w:rFonts w:ascii="Arial" w:hAnsi="Arial" w:cs="Arial"/>
        </w:rPr>
      </w:pPr>
      <w:r w:rsidRPr="00B80803">
        <w:rPr>
          <w:rStyle w:val="FootnoteReference"/>
          <w:rFonts w:ascii="Arial" w:hAnsi="Arial" w:cs="Arial"/>
        </w:rPr>
        <w:footnoteRef/>
      </w:r>
      <w:r w:rsidRPr="00B80803">
        <w:rPr>
          <w:rFonts w:ascii="Arial" w:hAnsi="Arial" w:cs="Arial"/>
        </w:rPr>
        <w:t xml:space="preserve"> Ordinance 19474</w:t>
      </w:r>
    </w:p>
  </w:footnote>
  <w:footnote w:id="23">
    <w:p w14:paraId="2391C3FF" w14:textId="3E9D7113" w:rsidR="00491B2D" w:rsidRPr="00491B2D" w:rsidRDefault="00491B2D">
      <w:pPr>
        <w:pStyle w:val="FootnoteText"/>
        <w:rPr>
          <w:rFonts w:ascii="Arial" w:hAnsi="Arial" w:cs="Arial"/>
        </w:rPr>
      </w:pPr>
      <w:r w:rsidRPr="00491B2D">
        <w:rPr>
          <w:rStyle w:val="FootnoteReference"/>
          <w:rFonts w:ascii="Arial" w:hAnsi="Arial" w:cs="Arial"/>
        </w:rPr>
        <w:footnoteRef/>
      </w:r>
      <w:r w:rsidRPr="00491B2D">
        <w:rPr>
          <w:rFonts w:ascii="Arial" w:hAnsi="Arial" w:cs="Arial"/>
        </w:rPr>
        <w:t xml:space="preserve"> Proposed Ordinance 2022-0392</w:t>
      </w:r>
    </w:p>
  </w:footnote>
  <w:footnote w:id="24">
    <w:p w14:paraId="09CAF5C6" w14:textId="2C8EA79A" w:rsidR="006E2F4F" w:rsidRPr="00042370" w:rsidRDefault="006E2F4F">
      <w:pPr>
        <w:pStyle w:val="FootnoteText"/>
        <w:rPr>
          <w:rFonts w:ascii="Arial" w:hAnsi="Arial" w:cs="Arial"/>
        </w:rPr>
      </w:pPr>
      <w:r w:rsidRPr="00042370">
        <w:rPr>
          <w:rStyle w:val="FootnoteReference"/>
          <w:rFonts w:ascii="Arial" w:hAnsi="Arial" w:cs="Arial"/>
        </w:rPr>
        <w:footnoteRef/>
      </w:r>
      <w:r w:rsidRPr="00042370">
        <w:rPr>
          <w:rFonts w:ascii="Arial" w:hAnsi="Arial" w:cs="Arial"/>
        </w:rPr>
        <w:t xml:space="preserve"> </w:t>
      </w:r>
      <w:r w:rsidR="007C1651" w:rsidRPr="00042370">
        <w:rPr>
          <w:rFonts w:ascii="Arial" w:hAnsi="Arial" w:cs="Arial"/>
        </w:rPr>
        <w:t xml:space="preserve">The </w:t>
      </w:r>
      <w:r w:rsidR="00042370">
        <w:rPr>
          <w:rFonts w:ascii="Arial" w:hAnsi="Arial" w:cs="Arial"/>
        </w:rPr>
        <w:t xml:space="preserve">proposed </w:t>
      </w:r>
      <w:r w:rsidR="007C1651" w:rsidRPr="00042370">
        <w:rPr>
          <w:rFonts w:ascii="Arial" w:hAnsi="Arial" w:cs="Arial"/>
        </w:rPr>
        <w:t xml:space="preserve">Public Health budget also includes $489,000, including 1.0 FTE, to be backed by $560,000 from Sound Transit, to </w:t>
      </w:r>
      <w:r w:rsidR="00042370" w:rsidRPr="00042370">
        <w:rPr>
          <w:rFonts w:ascii="Arial" w:hAnsi="Arial" w:cs="Arial"/>
        </w:rPr>
        <w:t>add a program manager and contract with two community agencies to add ORCA LIFT enrollment locations in BIPOC communities.</w:t>
      </w:r>
    </w:p>
  </w:footnote>
  <w:footnote w:id="25">
    <w:p w14:paraId="43F0B747" w14:textId="77777777" w:rsidR="007C08DC" w:rsidRPr="00EE612B" w:rsidRDefault="007C08DC" w:rsidP="007C08DC">
      <w:pPr>
        <w:pStyle w:val="FootnoteText"/>
        <w:rPr>
          <w:rFonts w:ascii="Arial" w:hAnsi="Arial" w:cs="Arial"/>
        </w:rPr>
      </w:pPr>
      <w:r w:rsidRPr="00EE612B">
        <w:rPr>
          <w:rStyle w:val="FootnoteReference"/>
          <w:rFonts w:ascii="Arial" w:hAnsi="Arial" w:cs="Arial"/>
        </w:rPr>
        <w:footnoteRef/>
      </w:r>
      <w:r w:rsidRPr="00EE612B">
        <w:rPr>
          <w:rFonts w:ascii="Arial" w:hAnsi="Arial" w:cs="Arial"/>
        </w:rPr>
        <w:t xml:space="preserve"> Motion 16128</w:t>
      </w:r>
    </w:p>
  </w:footnote>
  <w:footnote w:id="26">
    <w:p w14:paraId="081EB994" w14:textId="70BFBB61" w:rsidR="00212D24" w:rsidRPr="00ED48D0" w:rsidRDefault="00212D24" w:rsidP="00212D24">
      <w:pPr>
        <w:pStyle w:val="FootnoteText"/>
        <w:rPr>
          <w:rFonts w:ascii="Arial" w:hAnsi="Arial" w:cs="Arial"/>
        </w:rPr>
      </w:pPr>
      <w:r w:rsidRPr="00ED48D0">
        <w:rPr>
          <w:rStyle w:val="FootnoteReference"/>
          <w:rFonts w:ascii="Arial" w:hAnsi="Arial" w:cs="Arial"/>
        </w:rPr>
        <w:footnoteRef/>
      </w:r>
      <w:r w:rsidRPr="00ED48D0">
        <w:rPr>
          <w:rFonts w:ascii="Arial" w:hAnsi="Arial" w:cs="Arial"/>
        </w:rPr>
        <w:t xml:space="preserve"> The current agreement was approved in 2019 through Ordinance 18914.</w:t>
      </w:r>
    </w:p>
  </w:footnote>
  <w:footnote w:id="27">
    <w:p w14:paraId="1709B8AD" w14:textId="77777777" w:rsidR="00B73B36" w:rsidRPr="00C05751" w:rsidRDefault="00B73B36" w:rsidP="00B73B36">
      <w:pPr>
        <w:pStyle w:val="FootnoteText"/>
        <w:rPr>
          <w:rFonts w:ascii="Arial" w:hAnsi="Arial" w:cs="Arial"/>
        </w:rPr>
      </w:pPr>
      <w:r w:rsidRPr="00C05751">
        <w:rPr>
          <w:rStyle w:val="FootnoteReference"/>
          <w:rFonts w:ascii="Arial" w:hAnsi="Arial" w:cs="Arial"/>
        </w:rPr>
        <w:footnoteRef/>
      </w:r>
      <w:r w:rsidRPr="00C05751">
        <w:rPr>
          <w:rFonts w:ascii="Arial" w:hAnsi="Arial" w:cs="Arial"/>
        </w:rPr>
        <w:t xml:space="preserve"> KCC 18.22.010.A.1, KCC 28.94.085.A.1</w:t>
      </w:r>
    </w:p>
  </w:footnote>
  <w:footnote w:id="28">
    <w:p w14:paraId="1AE73BFE" w14:textId="1E11A345" w:rsidR="00E972F5" w:rsidRPr="00027F7F" w:rsidRDefault="00E972F5">
      <w:pPr>
        <w:pStyle w:val="FootnoteText"/>
        <w:rPr>
          <w:rFonts w:ascii="Arial" w:hAnsi="Arial" w:cs="Arial"/>
        </w:rPr>
      </w:pPr>
      <w:r w:rsidRPr="00027F7F">
        <w:rPr>
          <w:rStyle w:val="FootnoteReference"/>
          <w:rFonts w:ascii="Arial" w:hAnsi="Arial" w:cs="Arial"/>
        </w:rPr>
        <w:footnoteRef/>
      </w:r>
      <w:r w:rsidRPr="00027F7F">
        <w:rPr>
          <w:rFonts w:ascii="Arial" w:hAnsi="Arial" w:cs="Arial"/>
        </w:rPr>
        <w:t xml:space="preserve"> King County Metro, Moving to a Zero-Emission Bus Fleet: Transition Plan, May 2022 (</w:t>
      </w:r>
      <w:hyperlink r:id="rId1" w:history="1">
        <w:r w:rsidRPr="00027F7F">
          <w:rPr>
            <w:rStyle w:val="Hyperlink"/>
            <w:rFonts w:ascii="Arial" w:hAnsi="Arial" w:cs="Arial"/>
          </w:rPr>
          <w:t>link</w:t>
        </w:r>
      </w:hyperlink>
      <w:r w:rsidRPr="00027F7F">
        <w:rPr>
          <w:rFonts w:ascii="Arial" w:hAnsi="Arial" w:cs="Arial"/>
        </w:rPr>
        <w:t>)</w:t>
      </w:r>
    </w:p>
  </w:footnote>
  <w:footnote w:id="29">
    <w:p w14:paraId="4EAAE678" w14:textId="60877D6A" w:rsidR="00B42E91" w:rsidRPr="00B42E91" w:rsidRDefault="00B42E91">
      <w:pPr>
        <w:pStyle w:val="FootnoteText"/>
        <w:rPr>
          <w:rFonts w:ascii="Arial" w:hAnsi="Arial" w:cs="Arial"/>
        </w:rPr>
      </w:pPr>
      <w:r w:rsidRPr="00B42E91">
        <w:rPr>
          <w:rStyle w:val="FootnoteReference"/>
          <w:rFonts w:ascii="Arial" w:hAnsi="Arial" w:cs="Arial"/>
        </w:rPr>
        <w:footnoteRef/>
      </w:r>
      <w:r w:rsidRPr="00B42E91">
        <w:rPr>
          <w:rFonts w:ascii="Arial" w:hAnsi="Arial" w:cs="Arial"/>
        </w:rPr>
        <w:t xml:space="preserve"> Battery-electric buses include 11 short-range Proterra buses and 40 longer-range New Flyer buses.</w:t>
      </w:r>
      <w:r w:rsidR="00E565DD">
        <w:rPr>
          <w:rFonts w:ascii="Arial" w:hAnsi="Arial" w:cs="Arial"/>
        </w:rPr>
        <w:t xml:space="preserve"> The remaining buses are diesel-electric hybrids.</w:t>
      </w:r>
    </w:p>
  </w:footnote>
  <w:footnote w:id="30">
    <w:p w14:paraId="46D5535D" w14:textId="0EA9C040" w:rsidR="009907B9" w:rsidRPr="009907B9" w:rsidRDefault="009907B9">
      <w:pPr>
        <w:pStyle w:val="FootnoteText"/>
        <w:rPr>
          <w:rFonts w:ascii="Arial" w:hAnsi="Arial" w:cs="Arial"/>
        </w:rPr>
      </w:pPr>
      <w:r w:rsidRPr="009907B9">
        <w:rPr>
          <w:rStyle w:val="FootnoteReference"/>
          <w:rFonts w:ascii="Arial" w:hAnsi="Arial" w:cs="Arial"/>
        </w:rPr>
        <w:footnoteRef/>
      </w:r>
      <w:r w:rsidRPr="009907B9">
        <w:rPr>
          <w:rFonts w:ascii="Arial" w:hAnsi="Arial" w:cs="Arial"/>
        </w:rPr>
        <w:t xml:space="preserve"> Source: King County Metro, Moving to a Zero-Emission Bus Fleet: Transition Plan, May 2022 (</w:t>
      </w:r>
      <w:hyperlink r:id="rId2" w:history="1">
        <w:r w:rsidRPr="009907B9">
          <w:rPr>
            <w:rStyle w:val="Hyperlink"/>
            <w:rFonts w:ascii="Arial" w:hAnsi="Arial" w:cs="Arial"/>
          </w:rPr>
          <w:t>link</w:t>
        </w:r>
      </w:hyperlink>
      <w:r w:rsidRPr="009907B9">
        <w:rPr>
          <w:rFonts w:ascii="Arial" w:hAnsi="Arial" w:cs="Arial"/>
        </w:rPr>
        <w:t>)</w:t>
      </w:r>
    </w:p>
  </w:footnote>
  <w:footnote w:id="31">
    <w:p w14:paraId="259CEC15" w14:textId="19EEE0D1" w:rsidR="00CA5E1D" w:rsidRPr="00E63E9B" w:rsidRDefault="00CA5E1D">
      <w:pPr>
        <w:pStyle w:val="FootnoteText"/>
        <w:rPr>
          <w:rFonts w:ascii="Arial" w:hAnsi="Arial" w:cs="Arial"/>
        </w:rPr>
      </w:pPr>
      <w:r w:rsidRPr="00E63E9B">
        <w:rPr>
          <w:rStyle w:val="FootnoteReference"/>
          <w:rFonts w:ascii="Arial" w:hAnsi="Arial" w:cs="Arial"/>
        </w:rPr>
        <w:footnoteRef/>
      </w:r>
      <w:r w:rsidRPr="00E63E9B">
        <w:rPr>
          <w:rFonts w:ascii="Arial" w:hAnsi="Arial" w:cs="Arial"/>
        </w:rPr>
        <w:t xml:space="preserve"> Some additional planning and design work</w:t>
      </w:r>
      <w:r w:rsidR="00E63E9B" w:rsidRPr="00E63E9B">
        <w:rPr>
          <w:rFonts w:ascii="Arial" w:hAnsi="Arial" w:cs="Arial"/>
        </w:rPr>
        <w:t>, as well as a review of pre-pandemic analysis,</w:t>
      </w:r>
      <w:r w:rsidRPr="00E63E9B">
        <w:rPr>
          <w:rFonts w:ascii="Arial" w:hAnsi="Arial" w:cs="Arial"/>
        </w:rPr>
        <w:t xml:space="preserve"> was conducted </w:t>
      </w:r>
      <w:r w:rsidR="00E63E9B" w:rsidRPr="00E63E9B">
        <w:rPr>
          <w:rFonts w:ascii="Arial" w:hAnsi="Arial" w:cs="Arial"/>
        </w:rPr>
        <w:t xml:space="preserve">for the K and R lines </w:t>
      </w:r>
      <w:r w:rsidRPr="00E63E9B">
        <w:rPr>
          <w:rFonts w:ascii="Arial" w:hAnsi="Arial" w:cs="Arial"/>
        </w:rPr>
        <w:t>during 2021 and 2022 in response to a Council budget proviso. This work was documented in the RapidRide Restart Report (Motion 16153).</w:t>
      </w:r>
    </w:p>
  </w:footnote>
  <w:footnote w:id="32">
    <w:p w14:paraId="7CF7F8AE" w14:textId="6E98EFEA" w:rsidR="002F5D92" w:rsidRPr="002F5D92" w:rsidRDefault="002F5D92">
      <w:pPr>
        <w:pStyle w:val="FootnoteText"/>
        <w:rPr>
          <w:rFonts w:ascii="Arial" w:hAnsi="Arial" w:cs="Arial"/>
        </w:rPr>
      </w:pPr>
      <w:r w:rsidRPr="002F5D92">
        <w:rPr>
          <w:rStyle w:val="FootnoteReference"/>
          <w:rFonts w:ascii="Arial" w:hAnsi="Arial" w:cs="Arial"/>
        </w:rPr>
        <w:footnoteRef/>
      </w:r>
      <w:r w:rsidRPr="002F5D92">
        <w:rPr>
          <w:rFonts w:ascii="Arial" w:hAnsi="Arial" w:cs="Arial"/>
        </w:rPr>
        <w:t xml:space="preserve"> Metro Connects (Ordinance 19367) states that the K and R lines, as well as one to three additional lines will be operational by the time of the Interim Network (approximately 2035).</w:t>
      </w:r>
      <w:r w:rsidR="001C66A8">
        <w:rPr>
          <w:rFonts w:ascii="Arial" w:hAnsi="Arial" w:cs="Arial"/>
        </w:rPr>
        <w:t xml:space="preserve"> L would be one of these.</w:t>
      </w:r>
    </w:p>
  </w:footnote>
  <w:footnote w:id="33">
    <w:p w14:paraId="36D06076" w14:textId="7023A371" w:rsidR="00956E2F" w:rsidRPr="00956E2F" w:rsidRDefault="00956E2F">
      <w:pPr>
        <w:pStyle w:val="FootnoteText"/>
        <w:rPr>
          <w:rFonts w:ascii="Arial" w:hAnsi="Arial" w:cs="Arial"/>
        </w:rPr>
      </w:pPr>
      <w:r w:rsidRPr="00956E2F">
        <w:rPr>
          <w:rStyle w:val="FootnoteReference"/>
          <w:rFonts w:ascii="Arial" w:hAnsi="Arial" w:cs="Arial"/>
        </w:rPr>
        <w:footnoteRef/>
      </w:r>
      <w:r w:rsidRPr="00956E2F">
        <w:rPr>
          <w:rFonts w:ascii="Arial" w:hAnsi="Arial" w:cs="Arial"/>
        </w:rPr>
        <w:t xml:space="preserve"> Note that funding is also proposed for RapidRide expansion planning, bike parking, station enhancement along the existing A Line, development of a Living Building certified station in Auburn, and trolley relocation to accommodate the G Line</w:t>
      </w:r>
      <w:r>
        <w:rPr>
          <w:rFonts w:ascii="Arial" w:hAnsi="Arial" w:cs="Arial"/>
        </w:rPr>
        <w:t>.</w:t>
      </w:r>
    </w:p>
  </w:footnote>
  <w:footnote w:id="34">
    <w:p w14:paraId="5BEFBE7D" w14:textId="07FA703E" w:rsidR="00D31E08" w:rsidRPr="005B59EE" w:rsidRDefault="00D31E08">
      <w:pPr>
        <w:pStyle w:val="FootnoteText"/>
        <w:rPr>
          <w:rFonts w:ascii="Arial" w:hAnsi="Arial" w:cs="Arial"/>
        </w:rPr>
      </w:pPr>
      <w:r w:rsidRPr="005B59EE">
        <w:rPr>
          <w:rStyle w:val="FootnoteReference"/>
          <w:rFonts w:ascii="Arial" w:hAnsi="Arial" w:cs="Arial"/>
        </w:rPr>
        <w:footnoteRef/>
      </w:r>
      <w:r w:rsidRPr="005B59EE">
        <w:rPr>
          <w:rFonts w:ascii="Arial" w:hAnsi="Arial" w:cs="Arial"/>
        </w:rPr>
        <w:t xml:space="preserve"> Includes funding appropriated in past budgets, as well as planned appropriations for 2023-2028.</w:t>
      </w:r>
    </w:p>
  </w:footnote>
  <w:footnote w:id="35">
    <w:p w14:paraId="1D4587EE" w14:textId="0E685D16" w:rsidR="00492479" w:rsidRPr="005B59EE" w:rsidRDefault="00492479">
      <w:pPr>
        <w:pStyle w:val="FootnoteText"/>
        <w:rPr>
          <w:rFonts w:ascii="Arial" w:hAnsi="Arial" w:cs="Arial"/>
        </w:rPr>
      </w:pPr>
      <w:r w:rsidRPr="005B59EE">
        <w:rPr>
          <w:rStyle w:val="FootnoteReference"/>
          <w:rFonts w:ascii="Arial" w:hAnsi="Arial" w:cs="Arial"/>
        </w:rPr>
        <w:footnoteRef/>
      </w:r>
      <w:r w:rsidRPr="005B59EE">
        <w:rPr>
          <w:rFonts w:ascii="Arial" w:hAnsi="Arial" w:cs="Arial"/>
        </w:rPr>
        <w:t xml:space="preserve"> Metro Connects </w:t>
      </w:r>
      <w:r w:rsidR="005B59EE">
        <w:rPr>
          <w:rFonts w:ascii="Arial" w:hAnsi="Arial" w:cs="Arial"/>
        </w:rPr>
        <w:t xml:space="preserve">(Ordinance 19367) </w:t>
      </w:r>
      <w:r w:rsidR="005B59EE" w:rsidRPr="005B59EE">
        <w:rPr>
          <w:rFonts w:ascii="Arial" w:hAnsi="Arial" w:cs="Arial"/>
        </w:rPr>
        <w:t>states that the K and R lines, as well as one to three additional lines will be operational by the time of the Interim Network (approximately 2035).</w:t>
      </w:r>
    </w:p>
  </w:footnote>
  <w:footnote w:id="36">
    <w:p w14:paraId="01DEA962" w14:textId="77EC629C" w:rsidR="007D29A9" w:rsidRPr="00492479" w:rsidRDefault="007D29A9">
      <w:pPr>
        <w:pStyle w:val="FootnoteText"/>
        <w:rPr>
          <w:rFonts w:ascii="Arial" w:hAnsi="Arial" w:cs="Arial"/>
        </w:rPr>
      </w:pPr>
      <w:r w:rsidRPr="00492479">
        <w:rPr>
          <w:rStyle w:val="FootnoteReference"/>
          <w:rFonts w:ascii="Arial" w:hAnsi="Arial" w:cs="Arial"/>
        </w:rPr>
        <w:footnoteRef/>
      </w:r>
      <w:r w:rsidRPr="00492479">
        <w:rPr>
          <w:rFonts w:ascii="Arial" w:hAnsi="Arial" w:cs="Arial"/>
        </w:rPr>
        <w:t xml:space="preserve"> The RapidRide Prioritization Plan, which is due to the Council by June 30, 2024 (Ordinance 19367) is to identify one to three RapidRide lines (in addition to K and R) that are to be completed by the time of the Interim Network (approximately </w:t>
      </w:r>
      <w:r w:rsidR="00492479" w:rsidRPr="00492479">
        <w:rPr>
          <w:rFonts w:ascii="Arial" w:hAnsi="Arial" w:cs="Arial"/>
        </w:rPr>
        <w:t>2035).</w:t>
      </w:r>
      <w:r w:rsidR="00E0782F">
        <w:rPr>
          <w:rFonts w:ascii="Arial" w:hAnsi="Arial" w:cs="Arial"/>
        </w:rPr>
        <w:t xml:space="preserve"> L would be one of these, and the location would be proposed in the Prioritization Plan.</w:t>
      </w:r>
    </w:p>
  </w:footnote>
  <w:footnote w:id="37">
    <w:p w14:paraId="27E86F3D" w14:textId="787AC384" w:rsidR="004245E1" w:rsidRPr="004245E1" w:rsidRDefault="004245E1">
      <w:pPr>
        <w:pStyle w:val="FootnoteText"/>
        <w:rPr>
          <w:rFonts w:ascii="Arial" w:hAnsi="Arial" w:cs="Arial"/>
        </w:rPr>
      </w:pPr>
      <w:r w:rsidRPr="004245E1">
        <w:rPr>
          <w:rStyle w:val="FootnoteReference"/>
          <w:rFonts w:ascii="Arial" w:hAnsi="Arial" w:cs="Arial"/>
        </w:rPr>
        <w:footnoteRef/>
      </w:r>
      <w:r w:rsidRPr="004245E1">
        <w:rPr>
          <w:rFonts w:ascii="Arial" w:hAnsi="Arial" w:cs="Arial"/>
        </w:rPr>
        <w:t xml:space="preserve"> The alternatives analysis that was conducted for the R Line studied future No-Build scenarios for 2024 and 2040, which were analyzed to determine the future intersection operations with the current roadway conditions, planned roadway improvements, and future volumes. Because this analysis was completed prior to the COVID-19 pandemic, Metro has indicated it must be reviewed and updated to address changes in traffic and roadway conditions that have occurred during the last several years.</w:t>
      </w:r>
    </w:p>
  </w:footnote>
  <w:footnote w:id="38">
    <w:p w14:paraId="2E36F763" w14:textId="54799012" w:rsidR="001301CA" w:rsidRPr="001301CA" w:rsidRDefault="001301CA">
      <w:pPr>
        <w:pStyle w:val="FootnoteText"/>
        <w:rPr>
          <w:rFonts w:ascii="Arial" w:hAnsi="Arial" w:cs="Arial"/>
        </w:rPr>
      </w:pPr>
      <w:r w:rsidRPr="001301CA">
        <w:rPr>
          <w:rStyle w:val="FootnoteReference"/>
          <w:rFonts w:ascii="Arial" w:hAnsi="Arial" w:cs="Arial"/>
        </w:rPr>
        <w:footnoteRef/>
      </w:r>
      <w:r w:rsidRPr="001301CA">
        <w:rPr>
          <w:rFonts w:ascii="Arial" w:hAnsi="Arial" w:cs="Arial"/>
        </w:rPr>
        <w:t xml:space="preserve"> Motion 16153</w:t>
      </w:r>
    </w:p>
  </w:footnote>
  <w:footnote w:id="39">
    <w:p w14:paraId="4CA5C5F9" w14:textId="77777777" w:rsidR="005F714D" w:rsidRPr="00E87019" w:rsidRDefault="005F714D" w:rsidP="005F714D">
      <w:pPr>
        <w:pStyle w:val="FootnoteText"/>
        <w:rPr>
          <w:rFonts w:ascii="Arial" w:hAnsi="Arial" w:cs="Arial"/>
        </w:rPr>
      </w:pPr>
      <w:r w:rsidRPr="00E87019">
        <w:rPr>
          <w:rStyle w:val="FootnoteReference"/>
          <w:rFonts w:ascii="Arial" w:hAnsi="Arial" w:cs="Arial"/>
        </w:rPr>
        <w:footnoteRef/>
      </w:r>
      <w:r w:rsidRPr="00E87019">
        <w:rPr>
          <w:rFonts w:ascii="Arial" w:hAnsi="Arial" w:cs="Arial"/>
        </w:rPr>
        <w:t xml:space="preserve"> Metro’s on-board cameras were expanded and enhanced during the 2017-2018 and 2019-2020 budgets in response to Motions 14595 and 14741.</w:t>
      </w:r>
    </w:p>
  </w:footnote>
  <w:footnote w:id="40">
    <w:p w14:paraId="7CE9FDF0" w14:textId="77777777" w:rsidR="00796845" w:rsidRPr="00F7103F" w:rsidRDefault="00796845" w:rsidP="00796845">
      <w:pPr>
        <w:pStyle w:val="FootnoteText"/>
        <w:rPr>
          <w:rFonts w:ascii="Arial" w:hAnsi="Arial" w:cs="Arial"/>
        </w:rPr>
      </w:pPr>
      <w:r w:rsidRPr="00F7103F">
        <w:rPr>
          <w:rStyle w:val="FootnoteReference"/>
          <w:rFonts w:ascii="Arial" w:hAnsi="Arial" w:cs="Arial"/>
        </w:rPr>
        <w:footnoteRef/>
      </w:r>
      <w:r w:rsidRPr="00F7103F">
        <w:rPr>
          <w:rFonts w:ascii="Arial" w:hAnsi="Arial" w:cs="Arial"/>
        </w:rPr>
        <w:t xml:space="preserve"> </w:t>
      </w:r>
      <w:r w:rsidRPr="00F7103F">
        <w:rPr>
          <w:rFonts w:ascii="Arial" w:hAnsi="Arial" w:cs="Arial"/>
          <w:szCs w:val="24"/>
        </w:rPr>
        <w:t>Ordinance 19145</w:t>
      </w:r>
    </w:p>
  </w:footnote>
  <w:footnote w:id="41">
    <w:p w14:paraId="07F51B51" w14:textId="3FC6D0E8" w:rsidR="00BE05DF" w:rsidRPr="00BE05DF" w:rsidRDefault="00BE05DF">
      <w:pPr>
        <w:pStyle w:val="FootnoteText"/>
        <w:rPr>
          <w:rFonts w:ascii="Arial" w:hAnsi="Arial" w:cs="Arial"/>
        </w:rPr>
      </w:pPr>
      <w:r w:rsidRPr="00BE05DF">
        <w:rPr>
          <w:rStyle w:val="FootnoteReference"/>
          <w:rFonts w:ascii="Arial" w:hAnsi="Arial" w:cs="Arial"/>
        </w:rPr>
        <w:footnoteRef/>
      </w:r>
      <w:r w:rsidRPr="00BE05DF">
        <w:rPr>
          <w:rFonts w:ascii="Arial" w:hAnsi="Arial" w:cs="Arial"/>
        </w:rPr>
        <w:t xml:space="preserve"> </w:t>
      </w:r>
      <w:r w:rsidRPr="00BE05DF">
        <w:rPr>
          <w:rFonts w:ascii="Arial" w:hAnsi="Arial" w:cs="Arial"/>
          <w:szCs w:val="24"/>
        </w:rPr>
        <w:t>Ordinance 19489</w:t>
      </w:r>
    </w:p>
  </w:footnote>
  <w:footnote w:id="42">
    <w:p w14:paraId="04F0BD1C" w14:textId="004CBBCE" w:rsidR="00C05751" w:rsidRPr="00C05751" w:rsidRDefault="00C05751">
      <w:pPr>
        <w:pStyle w:val="FootnoteText"/>
        <w:rPr>
          <w:rFonts w:ascii="Arial" w:hAnsi="Arial" w:cs="Arial"/>
        </w:rPr>
      </w:pPr>
      <w:r w:rsidRPr="00C05751">
        <w:rPr>
          <w:rStyle w:val="FootnoteReference"/>
          <w:rFonts w:ascii="Arial" w:hAnsi="Arial" w:cs="Arial"/>
        </w:rPr>
        <w:footnoteRef/>
      </w:r>
      <w:r w:rsidRPr="00C05751">
        <w:rPr>
          <w:rFonts w:ascii="Arial" w:hAnsi="Arial" w:cs="Arial"/>
        </w:rPr>
        <w:t xml:space="preserve"> KCC 18.22.010.A.1, KCC 28.94.085.A.1</w:t>
      </w:r>
    </w:p>
  </w:footnote>
  <w:footnote w:id="43">
    <w:p w14:paraId="27A590CC" w14:textId="48D45516" w:rsidR="004245E1" w:rsidRPr="004245E1" w:rsidRDefault="004245E1">
      <w:pPr>
        <w:pStyle w:val="FootnoteText"/>
        <w:rPr>
          <w:rFonts w:ascii="Arial" w:hAnsi="Arial" w:cs="Arial"/>
        </w:rPr>
      </w:pPr>
      <w:r w:rsidRPr="004245E1">
        <w:rPr>
          <w:rStyle w:val="FootnoteReference"/>
          <w:rFonts w:ascii="Arial" w:hAnsi="Arial" w:cs="Arial"/>
        </w:rPr>
        <w:footnoteRef/>
      </w:r>
      <w:r w:rsidRPr="004245E1">
        <w:rPr>
          <w:rFonts w:ascii="Arial" w:hAnsi="Arial" w:cs="Arial"/>
        </w:rPr>
        <w:t xml:space="preserve"> Metro’s proposed battery electric bus purchase timeline, beginning with the planned purchase of the 120 buses proposed in the 2023-2024 budget, is shown in Table 5. As Table 5 shows, these 120 buses must enter service beginning in 2025. To meet that goal, the buses must be ordered earlier than 2025 so that they can be built, delivered, and then put into service. To allow time for that process, they are proposed for purchase during the 2023-2024 biennium. </w:t>
      </w:r>
    </w:p>
  </w:footnote>
  <w:footnote w:id="44">
    <w:p w14:paraId="103F9CF7" w14:textId="5B81EC42" w:rsidR="001F6604" w:rsidRPr="001F6604" w:rsidRDefault="001F6604">
      <w:pPr>
        <w:pStyle w:val="FootnoteText"/>
        <w:rPr>
          <w:rFonts w:ascii="Arial" w:hAnsi="Arial" w:cs="Arial"/>
        </w:rPr>
      </w:pPr>
      <w:r w:rsidRPr="001F6604">
        <w:rPr>
          <w:rStyle w:val="FootnoteReference"/>
          <w:rFonts w:ascii="Arial" w:hAnsi="Arial" w:cs="Arial"/>
        </w:rPr>
        <w:footnoteRef/>
      </w:r>
      <w:r w:rsidRPr="001F6604">
        <w:rPr>
          <w:rFonts w:ascii="Arial" w:hAnsi="Arial" w:cs="Arial"/>
        </w:rPr>
        <w:t xml:space="preserve"> Zero-Emission Battery Bus Preliminary Implementation Plan (2020-RPT0142)</w:t>
      </w:r>
    </w:p>
  </w:footnote>
  <w:footnote w:id="45">
    <w:p w14:paraId="42FA7953" w14:textId="4B609BB2" w:rsidR="00A75F3F" w:rsidRPr="00A75F3F" w:rsidRDefault="00A75F3F">
      <w:pPr>
        <w:pStyle w:val="FootnoteText"/>
        <w:rPr>
          <w:rFonts w:ascii="Arial" w:hAnsi="Arial" w:cs="Arial"/>
        </w:rPr>
      </w:pPr>
      <w:r w:rsidRPr="00A75F3F">
        <w:rPr>
          <w:rStyle w:val="FootnoteReference"/>
          <w:rFonts w:ascii="Arial" w:hAnsi="Arial" w:cs="Arial"/>
        </w:rPr>
        <w:footnoteRef/>
      </w:r>
      <w:r w:rsidRPr="00A75F3F">
        <w:rPr>
          <w:rFonts w:ascii="Arial" w:hAnsi="Arial" w:cs="Arial"/>
        </w:rPr>
        <w:t xml:space="preserve"> Ordinance 19367</w:t>
      </w:r>
    </w:p>
  </w:footnote>
  <w:footnote w:id="46">
    <w:p w14:paraId="18B64623" w14:textId="0FD615B6" w:rsidR="00062976" w:rsidRPr="00062976" w:rsidRDefault="00062976">
      <w:pPr>
        <w:pStyle w:val="FootnoteText"/>
        <w:rPr>
          <w:rFonts w:ascii="Arial" w:hAnsi="Arial" w:cs="Arial"/>
        </w:rPr>
      </w:pPr>
      <w:r w:rsidRPr="00062976">
        <w:rPr>
          <w:rStyle w:val="FootnoteReference"/>
          <w:rFonts w:ascii="Arial" w:hAnsi="Arial" w:cs="Arial"/>
        </w:rPr>
        <w:footnoteRef/>
      </w:r>
      <w:r w:rsidRPr="00062976">
        <w:rPr>
          <w:rFonts w:ascii="Arial" w:hAnsi="Arial" w:cs="Arial"/>
        </w:rPr>
        <w:t xml:space="preserve"> Ordinance 19367</w:t>
      </w:r>
    </w:p>
  </w:footnote>
  <w:footnote w:id="47">
    <w:p w14:paraId="5912766B" w14:textId="60AA02EA" w:rsidR="009F1373" w:rsidRPr="004C7A31" w:rsidRDefault="009F1373">
      <w:pPr>
        <w:pStyle w:val="FootnoteText"/>
        <w:rPr>
          <w:rFonts w:ascii="Arial" w:hAnsi="Arial" w:cs="Arial"/>
        </w:rPr>
      </w:pPr>
      <w:r w:rsidRPr="004C7A31">
        <w:rPr>
          <w:rStyle w:val="FootnoteReference"/>
          <w:rFonts w:ascii="Arial" w:hAnsi="Arial" w:cs="Arial"/>
        </w:rPr>
        <w:footnoteRef/>
      </w:r>
      <w:r w:rsidRPr="004C7A31">
        <w:rPr>
          <w:rFonts w:ascii="Arial" w:hAnsi="Arial" w:cs="Arial"/>
        </w:rPr>
        <w:t xml:space="preserve"> </w:t>
      </w:r>
      <w:r w:rsidR="004C7A31" w:rsidRPr="004C7A31">
        <w:rPr>
          <w:rFonts w:ascii="Arial" w:hAnsi="Arial" w:cs="Arial"/>
        </w:rPr>
        <w:t>Ordinance 19367 requires a RapidRide Prioritization Plan to be transmitted to the Council by June 30, 2024. The plan must identify the RapidRide lines for inclusion in the Interim Network (approximately 2035), which are to include the K and R lines, as well as one to three additional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15B0"/>
    <w:multiLevelType w:val="hybridMultilevel"/>
    <w:tmpl w:val="860C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267ED"/>
    <w:multiLevelType w:val="hybridMultilevel"/>
    <w:tmpl w:val="9A6A7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6E2F0B"/>
    <w:multiLevelType w:val="hybridMultilevel"/>
    <w:tmpl w:val="F8E8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175AC"/>
    <w:multiLevelType w:val="hybridMultilevel"/>
    <w:tmpl w:val="22F2F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545E6"/>
    <w:multiLevelType w:val="hybridMultilevel"/>
    <w:tmpl w:val="5700103A"/>
    <w:lvl w:ilvl="0" w:tplc="399EE9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D4963"/>
    <w:multiLevelType w:val="hybridMultilevel"/>
    <w:tmpl w:val="2D08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1615D"/>
    <w:multiLevelType w:val="hybridMultilevel"/>
    <w:tmpl w:val="7B3C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E1C98"/>
    <w:multiLevelType w:val="hybridMultilevel"/>
    <w:tmpl w:val="712E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B0E66"/>
    <w:multiLevelType w:val="hybridMultilevel"/>
    <w:tmpl w:val="0636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E21567"/>
    <w:multiLevelType w:val="hybridMultilevel"/>
    <w:tmpl w:val="C6AA0AAE"/>
    <w:lvl w:ilvl="0" w:tplc="0B9A53B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A7C4C"/>
    <w:multiLevelType w:val="hybridMultilevel"/>
    <w:tmpl w:val="663EC3BC"/>
    <w:lvl w:ilvl="0" w:tplc="46D6DB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42ECB"/>
    <w:multiLevelType w:val="hybridMultilevel"/>
    <w:tmpl w:val="B246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F051F"/>
    <w:multiLevelType w:val="hybridMultilevel"/>
    <w:tmpl w:val="0928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A4D73"/>
    <w:multiLevelType w:val="hybridMultilevel"/>
    <w:tmpl w:val="CBB8C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FD7297"/>
    <w:multiLevelType w:val="hybridMultilevel"/>
    <w:tmpl w:val="CBB8CE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10"/>
  </w:num>
  <w:num w:numId="5">
    <w:abstractNumId w:val="13"/>
  </w:num>
  <w:num w:numId="6">
    <w:abstractNumId w:val="11"/>
  </w:num>
  <w:num w:numId="7">
    <w:abstractNumId w:val="6"/>
  </w:num>
  <w:num w:numId="8">
    <w:abstractNumId w:val="9"/>
  </w:num>
  <w:num w:numId="9">
    <w:abstractNumId w:val="4"/>
  </w:num>
  <w:num w:numId="10">
    <w:abstractNumId w:val="7"/>
  </w:num>
  <w:num w:numId="11">
    <w:abstractNumId w:val="14"/>
  </w:num>
  <w:num w:numId="12">
    <w:abstractNumId w:val="0"/>
  </w:num>
  <w:num w:numId="13">
    <w:abstractNumId w:val="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E8B"/>
    <w:rsid w:val="0000279C"/>
    <w:rsid w:val="00003D83"/>
    <w:rsid w:val="00003D92"/>
    <w:rsid w:val="00004C2F"/>
    <w:rsid w:val="0000568F"/>
    <w:rsid w:val="00006544"/>
    <w:rsid w:val="000065A3"/>
    <w:rsid w:val="000074D5"/>
    <w:rsid w:val="0000762D"/>
    <w:rsid w:val="00007A5D"/>
    <w:rsid w:val="000112EF"/>
    <w:rsid w:val="00013AC1"/>
    <w:rsid w:val="000168DD"/>
    <w:rsid w:val="000258E5"/>
    <w:rsid w:val="00026901"/>
    <w:rsid w:val="00026A40"/>
    <w:rsid w:val="00027F7F"/>
    <w:rsid w:val="0003244A"/>
    <w:rsid w:val="00032A04"/>
    <w:rsid w:val="000355A4"/>
    <w:rsid w:val="000356E0"/>
    <w:rsid w:val="000367FD"/>
    <w:rsid w:val="00040798"/>
    <w:rsid w:val="000416D8"/>
    <w:rsid w:val="00042370"/>
    <w:rsid w:val="0004254D"/>
    <w:rsid w:val="000458C6"/>
    <w:rsid w:val="00047176"/>
    <w:rsid w:val="00051499"/>
    <w:rsid w:val="00053FC9"/>
    <w:rsid w:val="00054834"/>
    <w:rsid w:val="00054F5C"/>
    <w:rsid w:val="0005741D"/>
    <w:rsid w:val="000619E2"/>
    <w:rsid w:val="00062976"/>
    <w:rsid w:val="000632D6"/>
    <w:rsid w:val="000638F7"/>
    <w:rsid w:val="0006594A"/>
    <w:rsid w:val="000672B1"/>
    <w:rsid w:val="0006754F"/>
    <w:rsid w:val="000720A1"/>
    <w:rsid w:val="00072CC4"/>
    <w:rsid w:val="00074808"/>
    <w:rsid w:val="00074868"/>
    <w:rsid w:val="00076446"/>
    <w:rsid w:val="00083F57"/>
    <w:rsid w:val="000858EE"/>
    <w:rsid w:val="00086B56"/>
    <w:rsid w:val="0008701F"/>
    <w:rsid w:val="00087369"/>
    <w:rsid w:val="00087CD0"/>
    <w:rsid w:val="0009041E"/>
    <w:rsid w:val="0009141C"/>
    <w:rsid w:val="000917BB"/>
    <w:rsid w:val="0009385F"/>
    <w:rsid w:val="000A0057"/>
    <w:rsid w:val="000A32AA"/>
    <w:rsid w:val="000A577B"/>
    <w:rsid w:val="000A5AF3"/>
    <w:rsid w:val="000A7D7D"/>
    <w:rsid w:val="000B5FA5"/>
    <w:rsid w:val="000C1BC7"/>
    <w:rsid w:val="000C200F"/>
    <w:rsid w:val="000C40C1"/>
    <w:rsid w:val="000C4DCF"/>
    <w:rsid w:val="000C6542"/>
    <w:rsid w:val="000C72FB"/>
    <w:rsid w:val="000D1626"/>
    <w:rsid w:val="000D291C"/>
    <w:rsid w:val="000D56F3"/>
    <w:rsid w:val="000D5AC3"/>
    <w:rsid w:val="000D6379"/>
    <w:rsid w:val="000D6B6B"/>
    <w:rsid w:val="000D7EDA"/>
    <w:rsid w:val="000E09C7"/>
    <w:rsid w:val="000E1A14"/>
    <w:rsid w:val="000E22E7"/>
    <w:rsid w:val="000E33A3"/>
    <w:rsid w:val="000E34EA"/>
    <w:rsid w:val="000E487F"/>
    <w:rsid w:val="000E581B"/>
    <w:rsid w:val="000E5DD3"/>
    <w:rsid w:val="000F0C22"/>
    <w:rsid w:val="000F2614"/>
    <w:rsid w:val="000F6A17"/>
    <w:rsid w:val="0010268F"/>
    <w:rsid w:val="00102F8D"/>
    <w:rsid w:val="0010314E"/>
    <w:rsid w:val="00105D74"/>
    <w:rsid w:val="00107A61"/>
    <w:rsid w:val="00110B99"/>
    <w:rsid w:val="001121BC"/>
    <w:rsid w:val="00112A86"/>
    <w:rsid w:val="0011523F"/>
    <w:rsid w:val="00115CD6"/>
    <w:rsid w:val="0012426F"/>
    <w:rsid w:val="00127035"/>
    <w:rsid w:val="001273A9"/>
    <w:rsid w:val="001301CA"/>
    <w:rsid w:val="00130B02"/>
    <w:rsid w:val="00131473"/>
    <w:rsid w:val="001323C4"/>
    <w:rsid w:val="00132405"/>
    <w:rsid w:val="00132C59"/>
    <w:rsid w:val="00134CFF"/>
    <w:rsid w:val="00140BFF"/>
    <w:rsid w:val="0014260E"/>
    <w:rsid w:val="00145B13"/>
    <w:rsid w:val="00153CFD"/>
    <w:rsid w:val="0015445F"/>
    <w:rsid w:val="00156ED3"/>
    <w:rsid w:val="00157085"/>
    <w:rsid w:val="00162E87"/>
    <w:rsid w:val="0016418D"/>
    <w:rsid w:val="001641FC"/>
    <w:rsid w:val="00165091"/>
    <w:rsid w:val="00165BF7"/>
    <w:rsid w:val="00167206"/>
    <w:rsid w:val="00170EF5"/>
    <w:rsid w:val="00171793"/>
    <w:rsid w:val="00174CE0"/>
    <w:rsid w:val="00175C76"/>
    <w:rsid w:val="0017724A"/>
    <w:rsid w:val="00180A9A"/>
    <w:rsid w:val="00186465"/>
    <w:rsid w:val="00187038"/>
    <w:rsid w:val="0018771B"/>
    <w:rsid w:val="00196357"/>
    <w:rsid w:val="001A010E"/>
    <w:rsid w:val="001A1405"/>
    <w:rsid w:val="001A1FB7"/>
    <w:rsid w:val="001A393E"/>
    <w:rsid w:val="001A5423"/>
    <w:rsid w:val="001A5DBD"/>
    <w:rsid w:val="001A5F4B"/>
    <w:rsid w:val="001A6DBF"/>
    <w:rsid w:val="001A6E77"/>
    <w:rsid w:val="001C1F4E"/>
    <w:rsid w:val="001C66A8"/>
    <w:rsid w:val="001D0887"/>
    <w:rsid w:val="001D171B"/>
    <w:rsid w:val="001D353A"/>
    <w:rsid w:val="001D3961"/>
    <w:rsid w:val="001D3C46"/>
    <w:rsid w:val="001D684E"/>
    <w:rsid w:val="001D77C2"/>
    <w:rsid w:val="001E0B67"/>
    <w:rsid w:val="001E7073"/>
    <w:rsid w:val="001F324D"/>
    <w:rsid w:val="001F39C9"/>
    <w:rsid w:val="001F4C2A"/>
    <w:rsid w:val="001F5246"/>
    <w:rsid w:val="001F6604"/>
    <w:rsid w:val="001F7194"/>
    <w:rsid w:val="001F74D9"/>
    <w:rsid w:val="001F79A8"/>
    <w:rsid w:val="00200C4A"/>
    <w:rsid w:val="002011FA"/>
    <w:rsid w:val="002029B2"/>
    <w:rsid w:val="00204A27"/>
    <w:rsid w:val="00204E74"/>
    <w:rsid w:val="0020700D"/>
    <w:rsid w:val="002070E1"/>
    <w:rsid w:val="002103B2"/>
    <w:rsid w:val="00210F21"/>
    <w:rsid w:val="00212D24"/>
    <w:rsid w:val="002147A1"/>
    <w:rsid w:val="002148C7"/>
    <w:rsid w:val="00215EE8"/>
    <w:rsid w:val="0022049E"/>
    <w:rsid w:val="002220A5"/>
    <w:rsid w:val="002248E5"/>
    <w:rsid w:val="00227220"/>
    <w:rsid w:val="002305A3"/>
    <w:rsid w:val="0023090F"/>
    <w:rsid w:val="002331E6"/>
    <w:rsid w:val="00236A42"/>
    <w:rsid w:val="00237F13"/>
    <w:rsid w:val="0024002C"/>
    <w:rsid w:val="0024149F"/>
    <w:rsid w:val="0024195D"/>
    <w:rsid w:val="00242A3D"/>
    <w:rsid w:val="00253B4F"/>
    <w:rsid w:val="00254642"/>
    <w:rsid w:val="00254CA0"/>
    <w:rsid w:val="002564EE"/>
    <w:rsid w:val="00256DD7"/>
    <w:rsid w:val="002662BD"/>
    <w:rsid w:val="00274647"/>
    <w:rsid w:val="00276DEC"/>
    <w:rsid w:val="002804D1"/>
    <w:rsid w:val="0029346F"/>
    <w:rsid w:val="0029433D"/>
    <w:rsid w:val="00294829"/>
    <w:rsid w:val="002971FE"/>
    <w:rsid w:val="002A0011"/>
    <w:rsid w:val="002A02E0"/>
    <w:rsid w:val="002A20A1"/>
    <w:rsid w:val="002A291B"/>
    <w:rsid w:val="002A2AC0"/>
    <w:rsid w:val="002A69EE"/>
    <w:rsid w:val="002A759F"/>
    <w:rsid w:val="002B065D"/>
    <w:rsid w:val="002B247F"/>
    <w:rsid w:val="002B2A78"/>
    <w:rsid w:val="002B5881"/>
    <w:rsid w:val="002C3758"/>
    <w:rsid w:val="002C64F7"/>
    <w:rsid w:val="002C6AB0"/>
    <w:rsid w:val="002D311C"/>
    <w:rsid w:val="002D3AC0"/>
    <w:rsid w:val="002D3EEC"/>
    <w:rsid w:val="002D6144"/>
    <w:rsid w:val="002E1629"/>
    <w:rsid w:val="002E2006"/>
    <w:rsid w:val="002E3503"/>
    <w:rsid w:val="002E35C0"/>
    <w:rsid w:val="002E3C4C"/>
    <w:rsid w:val="002E4261"/>
    <w:rsid w:val="002E4F42"/>
    <w:rsid w:val="002E5E53"/>
    <w:rsid w:val="002E5E54"/>
    <w:rsid w:val="002E614A"/>
    <w:rsid w:val="002E65A0"/>
    <w:rsid w:val="002E7C2B"/>
    <w:rsid w:val="002F0745"/>
    <w:rsid w:val="002F15F4"/>
    <w:rsid w:val="002F1D50"/>
    <w:rsid w:val="002F2E7C"/>
    <w:rsid w:val="002F3022"/>
    <w:rsid w:val="002F398F"/>
    <w:rsid w:val="002F56C9"/>
    <w:rsid w:val="002F5D92"/>
    <w:rsid w:val="002F7108"/>
    <w:rsid w:val="00300A56"/>
    <w:rsid w:val="00302765"/>
    <w:rsid w:val="00302D1D"/>
    <w:rsid w:val="00305E92"/>
    <w:rsid w:val="00306430"/>
    <w:rsid w:val="00310082"/>
    <w:rsid w:val="003224D6"/>
    <w:rsid w:val="00324929"/>
    <w:rsid w:val="00324982"/>
    <w:rsid w:val="00324BFC"/>
    <w:rsid w:val="003269F5"/>
    <w:rsid w:val="0033291D"/>
    <w:rsid w:val="00332942"/>
    <w:rsid w:val="00334B6F"/>
    <w:rsid w:val="003369DA"/>
    <w:rsid w:val="003373C4"/>
    <w:rsid w:val="00341364"/>
    <w:rsid w:val="00341557"/>
    <w:rsid w:val="003417AF"/>
    <w:rsid w:val="003425D1"/>
    <w:rsid w:val="00342D9C"/>
    <w:rsid w:val="00345313"/>
    <w:rsid w:val="003473E5"/>
    <w:rsid w:val="00353CC0"/>
    <w:rsid w:val="00356F79"/>
    <w:rsid w:val="003605CB"/>
    <w:rsid w:val="00360B5F"/>
    <w:rsid w:val="00361B24"/>
    <w:rsid w:val="0036509A"/>
    <w:rsid w:val="0036540E"/>
    <w:rsid w:val="0037015D"/>
    <w:rsid w:val="00371FA8"/>
    <w:rsid w:val="00372539"/>
    <w:rsid w:val="00372CEB"/>
    <w:rsid w:val="00375667"/>
    <w:rsid w:val="00381561"/>
    <w:rsid w:val="00386278"/>
    <w:rsid w:val="0039242F"/>
    <w:rsid w:val="00392922"/>
    <w:rsid w:val="003A0592"/>
    <w:rsid w:val="003A0CE8"/>
    <w:rsid w:val="003A39A7"/>
    <w:rsid w:val="003A74C6"/>
    <w:rsid w:val="003B12CC"/>
    <w:rsid w:val="003B505F"/>
    <w:rsid w:val="003B5EBD"/>
    <w:rsid w:val="003C01ED"/>
    <w:rsid w:val="003C2C25"/>
    <w:rsid w:val="003C3AEE"/>
    <w:rsid w:val="003C3B15"/>
    <w:rsid w:val="003C5555"/>
    <w:rsid w:val="003D2C72"/>
    <w:rsid w:val="003D2C8C"/>
    <w:rsid w:val="003D628F"/>
    <w:rsid w:val="003E2DD8"/>
    <w:rsid w:val="003E342C"/>
    <w:rsid w:val="003E4059"/>
    <w:rsid w:val="003E4101"/>
    <w:rsid w:val="003E6EC7"/>
    <w:rsid w:val="003E798B"/>
    <w:rsid w:val="003F0F2F"/>
    <w:rsid w:val="003F2F0A"/>
    <w:rsid w:val="003F5CFD"/>
    <w:rsid w:val="003F5FBC"/>
    <w:rsid w:val="003F73E3"/>
    <w:rsid w:val="00400BA5"/>
    <w:rsid w:val="00401A4D"/>
    <w:rsid w:val="00404302"/>
    <w:rsid w:val="00404827"/>
    <w:rsid w:val="00404EFF"/>
    <w:rsid w:val="0040534E"/>
    <w:rsid w:val="0040783E"/>
    <w:rsid w:val="00412450"/>
    <w:rsid w:val="004124AD"/>
    <w:rsid w:val="004127C4"/>
    <w:rsid w:val="004129B3"/>
    <w:rsid w:val="00413965"/>
    <w:rsid w:val="0041552B"/>
    <w:rsid w:val="00420923"/>
    <w:rsid w:val="00420DC7"/>
    <w:rsid w:val="0042265A"/>
    <w:rsid w:val="004245E1"/>
    <w:rsid w:val="00424F9D"/>
    <w:rsid w:val="0042674F"/>
    <w:rsid w:val="00426CC4"/>
    <w:rsid w:val="00427304"/>
    <w:rsid w:val="0042751D"/>
    <w:rsid w:val="0042790E"/>
    <w:rsid w:val="004313C2"/>
    <w:rsid w:val="0043183D"/>
    <w:rsid w:val="00433119"/>
    <w:rsid w:val="00433BD4"/>
    <w:rsid w:val="00434918"/>
    <w:rsid w:val="00443027"/>
    <w:rsid w:val="00443250"/>
    <w:rsid w:val="00443370"/>
    <w:rsid w:val="004433FD"/>
    <w:rsid w:val="004437A0"/>
    <w:rsid w:val="00444526"/>
    <w:rsid w:val="00446667"/>
    <w:rsid w:val="00455440"/>
    <w:rsid w:val="004567F8"/>
    <w:rsid w:val="0046704C"/>
    <w:rsid w:val="00467A65"/>
    <w:rsid w:val="00470EBE"/>
    <w:rsid w:val="004710A7"/>
    <w:rsid w:val="00471BAA"/>
    <w:rsid w:val="00473E20"/>
    <w:rsid w:val="00474CAB"/>
    <w:rsid w:val="00476A8F"/>
    <w:rsid w:val="00480558"/>
    <w:rsid w:val="004816D0"/>
    <w:rsid w:val="00483532"/>
    <w:rsid w:val="00485212"/>
    <w:rsid w:val="004860DE"/>
    <w:rsid w:val="00486FE4"/>
    <w:rsid w:val="004873B4"/>
    <w:rsid w:val="004911B1"/>
    <w:rsid w:val="0049150D"/>
    <w:rsid w:val="00491B2D"/>
    <w:rsid w:val="00491EA6"/>
    <w:rsid w:val="00491F9B"/>
    <w:rsid w:val="00492479"/>
    <w:rsid w:val="00494256"/>
    <w:rsid w:val="00494872"/>
    <w:rsid w:val="00496798"/>
    <w:rsid w:val="0049751B"/>
    <w:rsid w:val="0049790B"/>
    <w:rsid w:val="004A12C5"/>
    <w:rsid w:val="004A2453"/>
    <w:rsid w:val="004A56F6"/>
    <w:rsid w:val="004A5A07"/>
    <w:rsid w:val="004A60BC"/>
    <w:rsid w:val="004A77A0"/>
    <w:rsid w:val="004B034A"/>
    <w:rsid w:val="004B0514"/>
    <w:rsid w:val="004B2D96"/>
    <w:rsid w:val="004B622D"/>
    <w:rsid w:val="004B7274"/>
    <w:rsid w:val="004C1321"/>
    <w:rsid w:val="004C15D2"/>
    <w:rsid w:val="004C3F05"/>
    <w:rsid w:val="004C7A31"/>
    <w:rsid w:val="004D0115"/>
    <w:rsid w:val="004D1CBA"/>
    <w:rsid w:val="004D3524"/>
    <w:rsid w:val="004D71A9"/>
    <w:rsid w:val="004D79F1"/>
    <w:rsid w:val="004E3436"/>
    <w:rsid w:val="004E3472"/>
    <w:rsid w:val="004E4EEC"/>
    <w:rsid w:val="004F1309"/>
    <w:rsid w:val="004F23D4"/>
    <w:rsid w:val="004F2F6E"/>
    <w:rsid w:val="004F31C2"/>
    <w:rsid w:val="004F7328"/>
    <w:rsid w:val="00500D48"/>
    <w:rsid w:val="00502677"/>
    <w:rsid w:val="00502AA1"/>
    <w:rsid w:val="00504F40"/>
    <w:rsid w:val="00506D9A"/>
    <w:rsid w:val="00507D7E"/>
    <w:rsid w:val="0051420D"/>
    <w:rsid w:val="00514CC2"/>
    <w:rsid w:val="00515320"/>
    <w:rsid w:val="00515543"/>
    <w:rsid w:val="005155E9"/>
    <w:rsid w:val="00516EAE"/>
    <w:rsid w:val="0052355A"/>
    <w:rsid w:val="00524994"/>
    <w:rsid w:val="0053015F"/>
    <w:rsid w:val="00530EBF"/>
    <w:rsid w:val="0053376E"/>
    <w:rsid w:val="00535422"/>
    <w:rsid w:val="00547964"/>
    <w:rsid w:val="00547B49"/>
    <w:rsid w:val="00553EB8"/>
    <w:rsid w:val="00554110"/>
    <w:rsid w:val="00560419"/>
    <w:rsid w:val="00562125"/>
    <w:rsid w:val="005651B1"/>
    <w:rsid w:val="00567E10"/>
    <w:rsid w:val="00570083"/>
    <w:rsid w:val="00573820"/>
    <w:rsid w:val="00573DDC"/>
    <w:rsid w:val="005748CF"/>
    <w:rsid w:val="00577852"/>
    <w:rsid w:val="00577A75"/>
    <w:rsid w:val="00580825"/>
    <w:rsid w:val="00581B4E"/>
    <w:rsid w:val="0058248E"/>
    <w:rsid w:val="005847E1"/>
    <w:rsid w:val="00594687"/>
    <w:rsid w:val="00597138"/>
    <w:rsid w:val="00597241"/>
    <w:rsid w:val="00597C6B"/>
    <w:rsid w:val="00597E31"/>
    <w:rsid w:val="005A1067"/>
    <w:rsid w:val="005A26FC"/>
    <w:rsid w:val="005A34D5"/>
    <w:rsid w:val="005A3D08"/>
    <w:rsid w:val="005B06DC"/>
    <w:rsid w:val="005B1223"/>
    <w:rsid w:val="005B3F60"/>
    <w:rsid w:val="005B433E"/>
    <w:rsid w:val="005B47F4"/>
    <w:rsid w:val="005B4DD5"/>
    <w:rsid w:val="005B59EE"/>
    <w:rsid w:val="005B72AB"/>
    <w:rsid w:val="005B7D48"/>
    <w:rsid w:val="005C2E8B"/>
    <w:rsid w:val="005C31A7"/>
    <w:rsid w:val="005C4790"/>
    <w:rsid w:val="005C7E63"/>
    <w:rsid w:val="005D1A2E"/>
    <w:rsid w:val="005D2B85"/>
    <w:rsid w:val="005D49A1"/>
    <w:rsid w:val="005D4F0F"/>
    <w:rsid w:val="005E0C51"/>
    <w:rsid w:val="005E299E"/>
    <w:rsid w:val="005E321E"/>
    <w:rsid w:val="005E397C"/>
    <w:rsid w:val="005E59CE"/>
    <w:rsid w:val="005E7082"/>
    <w:rsid w:val="005E7132"/>
    <w:rsid w:val="005F0ED1"/>
    <w:rsid w:val="005F32CA"/>
    <w:rsid w:val="005F4061"/>
    <w:rsid w:val="005F4E07"/>
    <w:rsid w:val="005F6F61"/>
    <w:rsid w:val="005F714D"/>
    <w:rsid w:val="0060258F"/>
    <w:rsid w:val="00603462"/>
    <w:rsid w:val="00610BD9"/>
    <w:rsid w:val="00614FD6"/>
    <w:rsid w:val="006152D5"/>
    <w:rsid w:val="00617CBC"/>
    <w:rsid w:val="00621FB9"/>
    <w:rsid w:val="00622431"/>
    <w:rsid w:val="0062318C"/>
    <w:rsid w:val="00626F55"/>
    <w:rsid w:val="0062763D"/>
    <w:rsid w:val="0063060C"/>
    <w:rsid w:val="00631124"/>
    <w:rsid w:val="00631A6D"/>
    <w:rsid w:val="00632AD6"/>
    <w:rsid w:val="006343EC"/>
    <w:rsid w:val="006356AC"/>
    <w:rsid w:val="006410FE"/>
    <w:rsid w:val="0064585A"/>
    <w:rsid w:val="00647E36"/>
    <w:rsid w:val="00650D17"/>
    <w:rsid w:val="006564BE"/>
    <w:rsid w:val="00657AD7"/>
    <w:rsid w:val="0066510F"/>
    <w:rsid w:val="0066535A"/>
    <w:rsid w:val="006657EB"/>
    <w:rsid w:val="006658E1"/>
    <w:rsid w:val="006664ED"/>
    <w:rsid w:val="00674B00"/>
    <w:rsid w:val="0067513E"/>
    <w:rsid w:val="0068032F"/>
    <w:rsid w:val="00680E3E"/>
    <w:rsid w:val="00684E96"/>
    <w:rsid w:val="00686952"/>
    <w:rsid w:val="00690819"/>
    <w:rsid w:val="006A14B5"/>
    <w:rsid w:val="006A1D21"/>
    <w:rsid w:val="006A463A"/>
    <w:rsid w:val="006A538F"/>
    <w:rsid w:val="006A60C7"/>
    <w:rsid w:val="006A6A27"/>
    <w:rsid w:val="006A7681"/>
    <w:rsid w:val="006A7B7C"/>
    <w:rsid w:val="006B0170"/>
    <w:rsid w:val="006B16C7"/>
    <w:rsid w:val="006B2B09"/>
    <w:rsid w:val="006B4EBB"/>
    <w:rsid w:val="006B764C"/>
    <w:rsid w:val="006B7839"/>
    <w:rsid w:val="006B79D2"/>
    <w:rsid w:val="006C03A1"/>
    <w:rsid w:val="006C4300"/>
    <w:rsid w:val="006C7A7A"/>
    <w:rsid w:val="006D28F1"/>
    <w:rsid w:val="006D3E25"/>
    <w:rsid w:val="006E155B"/>
    <w:rsid w:val="006E2F4F"/>
    <w:rsid w:val="006E373B"/>
    <w:rsid w:val="006E404E"/>
    <w:rsid w:val="006E6E3B"/>
    <w:rsid w:val="006F4699"/>
    <w:rsid w:val="006F4729"/>
    <w:rsid w:val="006F7421"/>
    <w:rsid w:val="00700D5A"/>
    <w:rsid w:val="0070262A"/>
    <w:rsid w:val="00702B3C"/>
    <w:rsid w:val="00704200"/>
    <w:rsid w:val="00707618"/>
    <w:rsid w:val="007101CC"/>
    <w:rsid w:val="00710465"/>
    <w:rsid w:val="00710C05"/>
    <w:rsid w:val="0071110B"/>
    <w:rsid w:val="0071687B"/>
    <w:rsid w:val="00727213"/>
    <w:rsid w:val="00732564"/>
    <w:rsid w:val="00733973"/>
    <w:rsid w:val="00734560"/>
    <w:rsid w:val="007375AE"/>
    <w:rsid w:val="00746860"/>
    <w:rsid w:val="00746A73"/>
    <w:rsid w:val="00750477"/>
    <w:rsid w:val="007526C7"/>
    <w:rsid w:val="00756917"/>
    <w:rsid w:val="0075760D"/>
    <w:rsid w:val="00757904"/>
    <w:rsid w:val="007612E8"/>
    <w:rsid w:val="00762215"/>
    <w:rsid w:val="007645CA"/>
    <w:rsid w:val="007651ED"/>
    <w:rsid w:val="00765773"/>
    <w:rsid w:val="007702E2"/>
    <w:rsid w:val="00773435"/>
    <w:rsid w:val="007737D9"/>
    <w:rsid w:val="00777177"/>
    <w:rsid w:val="00785345"/>
    <w:rsid w:val="0078543B"/>
    <w:rsid w:val="007908D8"/>
    <w:rsid w:val="00796845"/>
    <w:rsid w:val="007970BD"/>
    <w:rsid w:val="007A1271"/>
    <w:rsid w:val="007A237D"/>
    <w:rsid w:val="007A2ABB"/>
    <w:rsid w:val="007A4537"/>
    <w:rsid w:val="007A661E"/>
    <w:rsid w:val="007A7292"/>
    <w:rsid w:val="007A7C5A"/>
    <w:rsid w:val="007B0A7D"/>
    <w:rsid w:val="007B3B35"/>
    <w:rsid w:val="007B473B"/>
    <w:rsid w:val="007B489C"/>
    <w:rsid w:val="007C0822"/>
    <w:rsid w:val="007C08DC"/>
    <w:rsid w:val="007C1651"/>
    <w:rsid w:val="007C232B"/>
    <w:rsid w:val="007C254A"/>
    <w:rsid w:val="007C3106"/>
    <w:rsid w:val="007C339E"/>
    <w:rsid w:val="007C386C"/>
    <w:rsid w:val="007C4FD0"/>
    <w:rsid w:val="007D0720"/>
    <w:rsid w:val="007D29A9"/>
    <w:rsid w:val="007D31F7"/>
    <w:rsid w:val="007D545F"/>
    <w:rsid w:val="007D71D7"/>
    <w:rsid w:val="007E21A7"/>
    <w:rsid w:val="007E3F5C"/>
    <w:rsid w:val="007E437B"/>
    <w:rsid w:val="007E43F0"/>
    <w:rsid w:val="007E56E3"/>
    <w:rsid w:val="007E6A8E"/>
    <w:rsid w:val="007F4C24"/>
    <w:rsid w:val="007F7C87"/>
    <w:rsid w:val="00800550"/>
    <w:rsid w:val="00803130"/>
    <w:rsid w:val="00805BD3"/>
    <w:rsid w:val="00813CC0"/>
    <w:rsid w:val="008156D8"/>
    <w:rsid w:val="00816022"/>
    <w:rsid w:val="00816A4D"/>
    <w:rsid w:val="00823DB7"/>
    <w:rsid w:val="00832C9E"/>
    <w:rsid w:val="00835789"/>
    <w:rsid w:val="00835C85"/>
    <w:rsid w:val="00844FE8"/>
    <w:rsid w:val="008503A7"/>
    <w:rsid w:val="0085235B"/>
    <w:rsid w:val="00855CC3"/>
    <w:rsid w:val="008575EB"/>
    <w:rsid w:val="00861B1A"/>
    <w:rsid w:val="0086564C"/>
    <w:rsid w:val="008674C2"/>
    <w:rsid w:val="0086776E"/>
    <w:rsid w:val="0087000B"/>
    <w:rsid w:val="00881F80"/>
    <w:rsid w:val="00882738"/>
    <w:rsid w:val="00882EED"/>
    <w:rsid w:val="008832DC"/>
    <w:rsid w:val="008852D2"/>
    <w:rsid w:val="008900E0"/>
    <w:rsid w:val="00892483"/>
    <w:rsid w:val="00892982"/>
    <w:rsid w:val="00894262"/>
    <w:rsid w:val="008A07C1"/>
    <w:rsid w:val="008A0CE9"/>
    <w:rsid w:val="008A28C6"/>
    <w:rsid w:val="008A4871"/>
    <w:rsid w:val="008A5CF4"/>
    <w:rsid w:val="008A6AF5"/>
    <w:rsid w:val="008A6CFD"/>
    <w:rsid w:val="008A7B8F"/>
    <w:rsid w:val="008B7853"/>
    <w:rsid w:val="008C05F2"/>
    <w:rsid w:val="008C07EB"/>
    <w:rsid w:val="008C3DDD"/>
    <w:rsid w:val="008C4E8B"/>
    <w:rsid w:val="008C6F5A"/>
    <w:rsid w:val="008C7160"/>
    <w:rsid w:val="008C783E"/>
    <w:rsid w:val="008D0868"/>
    <w:rsid w:val="008D090E"/>
    <w:rsid w:val="008D0B8F"/>
    <w:rsid w:val="008D33C1"/>
    <w:rsid w:val="008D3F3F"/>
    <w:rsid w:val="008D617B"/>
    <w:rsid w:val="008D6E4F"/>
    <w:rsid w:val="008E2CCC"/>
    <w:rsid w:val="008E390A"/>
    <w:rsid w:val="008E5E48"/>
    <w:rsid w:val="008E7755"/>
    <w:rsid w:val="008F1804"/>
    <w:rsid w:val="008F39A3"/>
    <w:rsid w:val="008F4289"/>
    <w:rsid w:val="008F4CF4"/>
    <w:rsid w:val="008F53FA"/>
    <w:rsid w:val="008F7BEE"/>
    <w:rsid w:val="009033CD"/>
    <w:rsid w:val="00904540"/>
    <w:rsid w:val="009055AC"/>
    <w:rsid w:val="00910AC6"/>
    <w:rsid w:val="00913E5B"/>
    <w:rsid w:val="0091523A"/>
    <w:rsid w:val="00921A91"/>
    <w:rsid w:val="009268BC"/>
    <w:rsid w:val="0093261A"/>
    <w:rsid w:val="00934247"/>
    <w:rsid w:val="009348FF"/>
    <w:rsid w:val="009524A4"/>
    <w:rsid w:val="00956E2F"/>
    <w:rsid w:val="0095705A"/>
    <w:rsid w:val="009636E2"/>
    <w:rsid w:val="00966BCD"/>
    <w:rsid w:val="009674E8"/>
    <w:rsid w:val="00967626"/>
    <w:rsid w:val="00967D0A"/>
    <w:rsid w:val="00971C79"/>
    <w:rsid w:val="009723C0"/>
    <w:rsid w:val="00974C2E"/>
    <w:rsid w:val="00974DF0"/>
    <w:rsid w:val="00975171"/>
    <w:rsid w:val="00977C56"/>
    <w:rsid w:val="00980DE2"/>
    <w:rsid w:val="00981921"/>
    <w:rsid w:val="00981F5A"/>
    <w:rsid w:val="0098403A"/>
    <w:rsid w:val="00985244"/>
    <w:rsid w:val="00985AC2"/>
    <w:rsid w:val="009867BA"/>
    <w:rsid w:val="00986E6B"/>
    <w:rsid w:val="009904E2"/>
    <w:rsid w:val="009907B9"/>
    <w:rsid w:val="00991174"/>
    <w:rsid w:val="009966D6"/>
    <w:rsid w:val="009A4BE5"/>
    <w:rsid w:val="009A5126"/>
    <w:rsid w:val="009A624E"/>
    <w:rsid w:val="009A73B9"/>
    <w:rsid w:val="009B09DE"/>
    <w:rsid w:val="009B0D34"/>
    <w:rsid w:val="009B100F"/>
    <w:rsid w:val="009B1B4B"/>
    <w:rsid w:val="009B26F5"/>
    <w:rsid w:val="009B2FDC"/>
    <w:rsid w:val="009B3157"/>
    <w:rsid w:val="009B3D48"/>
    <w:rsid w:val="009B6831"/>
    <w:rsid w:val="009B6D7A"/>
    <w:rsid w:val="009C07AF"/>
    <w:rsid w:val="009C52EA"/>
    <w:rsid w:val="009C579F"/>
    <w:rsid w:val="009D0206"/>
    <w:rsid w:val="009D210A"/>
    <w:rsid w:val="009D3E21"/>
    <w:rsid w:val="009D58A7"/>
    <w:rsid w:val="009D650E"/>
    <w:rsid w:val="009D6AB6"/>
    <w:rsid w:val="009D7069"/>
    <w:rsid w:val="009E0017"/>
    <w:rsid w:val="009E036B"/>
    <w:rsid w:val="009E1CB8"/>
    <w:rsid w:val="009F0615"/>
    <w:rsid w:val="009F0A57"/>
    <w:rsid w:val="009F0B86"/>
    <w:rsid w:val="009F1373"/>
    <w:rsid w:val="009F13CC"/>
    <w:rsid w:val="009F3F40"/>
    <w:rsid w:val="009F51AF"/>
    <w:rsid w:val="009F7349"/>
    <w:rsid w:val="00A04FAA"/>
    <w:rsid w:val="00A136F6"/>
    <w:rsid w:val="00A1502A"/>
    <w:rsid w:val="00A172C9"/>
    <w:rsid w:val="00A175BA"/>
    <w:rsid w:val="00A21ED7"/>
    <w:rsid w:val="00A22D45"/>
    <w:rsid w:val="00A23579"/>
    <w:rsid w:val="00A241A4"/>
    <w:rsid w:val="00A24A47"/>
    <w:rsid w:val="00A24D6F"/>
    <w:rsid w:val="00A26634"/>
    <w:rsid w:val="00A27DEA"/>
    <w:rsid w:val="00A30468"/>
    <w:rsid w:val="00A31F54"/>
    <w:rsid w:val="00A410C4"/>
    <w:rsid w:val="00A435B3"/>
    <w:rsid w:val="00A45B01"/>
    <w:rsid w:val="00A461BE"/>
    <w:rsid w:val="00A5054C"/>
    <w:rsid w:val="00A50CD4"/>
    <w:rsid w:val="00A5321F"/>
    <w:rsid w:val="00A535F2"/>
    <w:rsid w:val="00A54228"/>
    <w:rsid w:val="00A57A0B"/>
    <w:rsid w:val="00A62D3D"/>
    <w:rsid w:val="00A63D23"/>
    <w:rsid w:val="00A6513F"/>
    <w:rsid w:val="00A6646B"/>
    <w:rsid w:val="00A75F3F"/>
    <w:rsid w:val="00A85D8F"/>
    <w:rsid w:val="00AA1AD0"/>
    <w:rsid w:val="00AA4A98"/>
    <w:rsid w:val="00AA7070"/>
    <w:rsid w:val="00AB0441"/>
    <w:rsid w:val="00AB1E4D"/>
    <w:rsid w:val="00AB31CF"/>
    <w:rsid w:val="00AB42A5"/>
    <w:rsid w:val="00AB45E4"/>
    <w:rsid w:val="00AB65D0"/>
    <w:rsid w:val="00AC3B47"/>
    <w:rsid w:val="00AC3C9D"/>
    <w:rsid w:val="00AC40FB"/>
    <w:rsid w:val="00AC4364"/>
    <w:rsid w:val="00AD3AF0"/>
    <w:rsid w:val="00AD46AF"/>
    <w:rsid w:val="00AD5D89"/>
    <w:rsid w:val="00AD69DE"/>
    <w:rsid w:val="00AE351D"/>
    <w:rsid w:val="00AF12EB"/>
    <w:rsid w:val="00AF21CF"/>
    <w:rsid w:val="00AF30CC"/>
    <w:rsid w:val="00AF4638"/>
    <w:rsid w:val="00B00997"/>
    <w:rsid w:val="00B05150"/>
    <w:rsid w:val="00B06369"/>
    <w:rsid w:val="00B07F54"/>
    <w:rsid w:val="00B11921"/>
    <w:rsid w:val="00B12B5A"/>
    <w:rsid w:val="00B16AA6"/>
    <w:rsid w:val="00B1778E"/>
    <w:rsid w:val="00B22198"/>
    <w:rsid w:val="00B22592"/>
    <w:rsid w:val="00B270E7"/>
    <w:rsid w:val="00B35D9E"/>
    <w:rsid w:val="00B36576"/>
    <w:rsid w:val="00B40E00"/>
    <w:rsid w:val="00B42307"/>
    <w:rsid w:val="00B42E40"/>
    <w:rsid w:val="00B42E91"/>
    <w:rsid w:val="00B45092"/>
    <w:rsid w:val="00B46CA9"/>
    <w:rsid w:val="00B51B2C"/>
    <w:rsid w:val="00B5526D"/>
    <w:rsid w:val="00B572ED"/>
    <w:rsid w:val="00B57368"/>
    <w:rsid w:val="00B5743C"/>
    <w:rsid w:val="00B60512"/>
    <w:rsid w:val="00B60FB9"/>
    <w:rsid w:val="00B61524"/>
    <w:rsid w:val="00B71F3E"/>
    <w:rsid w:val="00B738A6"/>
    <w:rsid w:val="00B73B36"/>
    <w:rsid w:val="00B747A7"/>
    <w:rsid w:val="00B755F1"/>
    <w:rsid w:val="00B75715"/>
    <w:rsid w:val="00B80803"/>
    <w:rsid w:val="00B809AF"/>
    <w:rsid w:val="00B80B1A"/>
    <w:rsid w:val="00B8306D"/>
    <w:rsid w:val="00B84C5D"/>
    <w:rsid w:val="00B868C1"/>
    <w:rsid w:val="00B91619"/>
    <w:rsid w:val="00B91BD5"/>
    <w:rsid w:val="00B966A4"/>
    <w:rsid w:val="00B9745A"/>
    <w:rsid w:val="00BA1210"/>
    <w:rsid w:val="00BA42AE"/>
    <w:rsid w:val="00BA52A1"/>
    <w:rsid w:val="00BA69F6"/>
    <w:rsid w:val="00BA6A2E"/>
    <w:rsid w:val="00BA7415"/>
    <w:rsid w:val="00BB3D5D"/>
    <w:rsid w:val="00BB7B67"/>
    <w:rsid w:val="00BC0435"/>
    <w:rsid w:val="00BC1BA7"/>
    <w:rsid w:val="00BC42F0"/>
    <w:rsid w:val="00BC4A74"/>
    <w:rsid w:val="00BC61B9"/>
    <w:rsid w:val="00BC6B87"/>
    <w:rsid w:val="00BC74EB"/>
    <w:rsid w:val="00BD104D"/>
    <w:rsid w:val="00BD1F30"/>
    <w:rsid w:val="00BD1FA9"/>
    <w:rsid w:val="00BE05DF"/>
    <w:rsid w:val="00BE0BBD"/>
    <w:rsid w:val="00BE1FCB"/>
    <w:rsid w:val="00BE3795"/>
    <w:rsid w:val="00BE6EE3"/>
    <w:rsid w:val="00BF00D7"/>
    <w:rsid w:val="00BF3857"/>
    <w:rsid w:val="00BF543C"/>
    <w:rsid w:val="00BF63E3"/>
    <w:rsid w:val="00C00AF0"/>
    <w:rsid w:val="00C032DB"/>
    <w:rsid w:val="00C0504E"/>
    <w:rsid w:val="00C056AB"/>
    <w:rsid w:val="00C05751"/>
    <w:rsid w:val="00C065A3"/>
    <w:rsid w:val="00C11C54"/>
    <w:rsid w:val="00C1297A"/>
    <w:rsid w:val="00C20E6C"/>
    <w:rsid w:val="00C218BB"/>
    <w:rsid w:val="00C224BE"/>
    <w:rsid w:val="00C24738"/>
    <w:rsid w:val="00C2547C"/>
    <w:rsid w:val="00C30FCD"/>
    <w:rsid w:val="00C34CDD"/>
    <w:rsid w:val="00C35AB3"/>
    <w:rsid w:val="00C36182"/>
    <w:rsid w:val="00C44C89"/>
    <w:rsid w:val="00C4599F"/>
    <w:rsid w:val="00C45EC5"/>
    <w:rsid w:val="00C53D4B"/>
    <w:rsid w:val="00C56EC9"/>
    <w:rsid w:val="00C64CBA"/>
    <w:rsid w:val="00C70E55"/>
    <w:rsid w:val="00C7194F"/>
    <w:rsid w:val="00C72B44"/>
    <w:rsid w:val="00C742EB"/>
    <w:rsid w:val="00C74FB4"/>
    <w:rsid w:val="00C758ED"/>
    <w:rsid w:val="00C80721"/>
    <w:rsid w:val="00C85BBD"/>
    <w:rsid w:val="00C86700"/>
    <w:rsid w:val="00C8781D"/>
    <w:rsid w:val="00C910E9"/>
    <w:rsid w:val="00C91903"/>
    <w:rsid w:val="00C93406"/>
    <w:rsid w:val="00C93F13"/>
    <w:rsid w:val="00C974FE"/>
    <w:rsid w:val="00CA2E62"/>
    <w:rsid w:val="00CA32C5"/>
    <w:rsid w:val="00CA4443"/>
    <w:rsid w:val="00CA59B1"/>
    <w:rsid w:val="00CA5E1D"/>
    <w:rsid w:val="00CA7BF1"/>
    <w:rsid w:val="00CB3C52"/>
    <w:rsid w:val="00CB3CC8"/>
    <w:rsid w:val="00CC082D"/>
    <w:rsid w:val="00CC741B"/>
    <w:rsid w:val="00CD33C5"/>
    <w:rsid w:val="00CD6DE5"/>
    <w:rsid w:val="00CE4F01"/>
    <w:rsid w:val="00CF17E8"/>
    <w:rsid w:val="00CF2379"/>
    <w:rsid w:val="00CF4A12"/>
    <w:rsid w:val="00CF640A"/>
    <w:rsid w:val="00CF769D"/>
    <w:rsid w:val="00D01388"/>
    <w:rsid w:val="00D07020"/>
    <w:rsid w:val="00D07F25"/>
    <w:rsid w:val="00D1233D"/>
    <w:rsid w:val="00D14103"/>
    <w:rsid w:val="00D14958"/>
    <w:rsid w:val="00D15541"/>
    <w:rsid w:val="00D24713"/>
    <w:rsid w:val="00D2790D"/>
    <w:rsid w:val="00D3122C"/>
    <w:rsid w:val="00D31E08"/>
    <w:rsid w:val="00D35D7A"/>
    <w:rsid w:val="00D35E4E"/>
    <w:rsid w:val="00D37E06"/>
    <w:rsid w:val="00D40370"/>
    <w:rsid w:val="00D471C9"/>
    <w:rsid w:val="00D51A97"/>
    <w:rsid w:val="00D523E7"/>
    <w:rsid w:val="00D566D0"/>
    <w:rsid w:val="00D57F35"/>
    <w:rsid w:val="00D61B49"/>
    <w:rsid w:val="00D63011"/>
    <w:rsid w:val="00D63123"/>
    <w:rsid w:val="00D63FAE"/>
    <w:rsid w:val="00D67898"/>
    <w:rsid w:val="00D70C7C"/>
    <w:rsid w:val="00D71730"/>
    <w:rsid w:val="00D75AD4"/>
    <w:rsid w:val="00D81F4B"/>
    <w:rsid w:val="00D854B6"/>
    <w:rsid w:val="00D861DB"/>
    <w:rsid w:val="00D865E0"/>
    <w:rsid w:val="00D86FA3"/>
    <w:rsid w:val="00D87F6E"/>
    <w:rsid w:val="00D87F88"/>
    <w:rsid w:val="00D928C0"/>
    <w:rsid w:val="00D9366F"/>
    <w:rsid w:val="00D93D4D"/>
    <w:rsid w:val="00D945DD"/>
    <w:rsid w:val="00D97C99"/>
    <w:rsid w:val="00DA20A3"/>
    <w:rsid w:val="00DA30A7"/>
    <w:rsid w:val="00DB0959"/>
    <w:rsid w:val="00DB421F"/>
    <w:rsid w:val="00DB4852"/>
    <w:rsid w:val="00DB63D4"/>
    <w:rsid w:val="00DB710F"/>
    <w:rsid w:val="00DB786E"/>
    <w:rsid w:val="00DC12E6"/>
    <w:rsid w:val="00DC1B78"/>
    <w:rsid w:val="00DC2326"/>
    <w:rsid w:val="00DC23C9"/>
    <w:rsid w:val="00DC2851"/>
    <w:rsid w:val="00DD47E0"/>
    <w:rsid w:val="00DE1886"/>
    <w:rsid w:val="00DE2902"/>
    <w:rsid w:val="00DE4864"/>
    <w:rsid w:val="00DE4CB0"/>
    <w:rsid w:val="00DE7BF5"/>
    <w:rsid w:val="00DF0230"/>
    <w:rsid w:val="00DF548E"/>
    <w:rsid w:val="00E02201"/>
    <w:rsid w:val="00E02FF0"/>
    <w:rsid w:val="00E06BA6"/>
    <w:rsid w:val="00E0782F"/>
    <w:rsid w:val="00E166D3"/>
    <w:rsid w:val="00E16B11"/>
    <w:rsid w:val="00E17DA5"/>
    <w:rsid w:val="00E20775"/>
    <w:rsid w:val="00E20860"/>
    <w:rsid w:val="00E209B0"/>
    <w:rsid w:val="00E20FA6"/>
    <w:rsid w:val="00E3020A"/>
    <w:rsid w:val="00E3526A"/>
    <w:rsid w:val="00E35D91"/>
    <w:rsid w:val="00E41410"/>
    <w:rsid w:val="00E419DA"/>
    <w:rsid w:val="00E43E8F"/>
    <w:rsid w:val="00E4418B"/>
    <w:rsid w:val="00E473AE"/>
    <w:rsid w:val="00E500AB"/>
    <w:rsid w:val="00E532CC"/>
    <w:rsid w:val="00E565DD"/>
    <w:rsid w:val="00E567A6"/>
    <w:rsid w:val="00E60C58"/>
    <w:rsid w:val="00E61EE1"/>
    <w:rsid w:val="00E63E9B"/>
    <w:rsid w:val="00E642CF"/>
    <w:rsid w:val="00E64B7F"/>
    <w:rsid w:val="00E65965"/>
    <w:rsid w:val="00E709D9"/>
    <w:rsid w:val="00E71134"/>
    <w:rsid w:val="00E74ACE"/>
    <w:rsid w:val="00E80D2D"/>
    <w:rsid w:val="00E83ACF"/>
    <w:rsid w:val="00E8619A"/>
    <w:rsid w:val="00E87F2A"/>
    <w:rsid w:val="00E9016E"/>
    <w:rsid w:val="00E91E92"/>
    <w:rsid w:val="00E920CE"/>
    <w:rsid w:val="00E937D8"/>
    <w:rsid w:val="00E952AA"/>
    <w:rsid w:val="00E972F5"/>
    <w:rsid w:val="00E973CA"/>
    <w:rsid w:val="00EA0754"/>
    <w:rsid w:val="00EA0881"/>
    <w:rsid w:val="00EA17A5"/>
    <w:rsid w:val="00EA207D"/>
    <w:rsid w:val="00EA31F6"/>
    <w:rsid w:val="00EA56BB"/>
    <w:rsid w:val="00EA56DF"/>
    <w:rsid w:val="00EA5B97"/>
    <w:rsid w:val="00EA6DC0"/>
    <w:rsid w:val="00EA7300"/>
    <w:rsid w:val="00EB4525"/>
    <w:rsid w:val="00EB52C4"/>
    <w:rsid w:val="00EB7245"/>
    <w:rsid w:val="00EC1658"/>
    <w:rsid w:val="00EC5950"/>
    <w:rsid w:val="00EC5BF3"/>
    <w:rsid w:val="00EC5C18"/>
    <w:rsid w:val="00EC638B"/>
    <w:rsid w:val="00EC7BA1"/>
    <w:rsid w:val="00EC7BA5"/>
    <w:rsid w:val="00ED0321"/>
    <w:rsid w:val="00ED07F1"/>
    <w:rsid w:val="00ED311A"/>
    <w:rsid w:val="00ED40A6"/>
    <w:rsid w:val="00ED41CC"/>
    <w:rsid w:val="00ED4BC2"/>
    <w:rsid w:val="00ED62A3"/>
    <w:rsid w:val="00ED67AB"/>
    <w:rsid w:val="00ED7EFC"/>
    <w:rsid w:val="00EE3832"/>
    <w:rsid w:val="00EE3D2C"/>
    <w:rsid w:val="00EE4D9E"/>
    <w:rsid w:val="00EE612B"/>
    <w:rsid w:val="00EF0E95"/>
    <w:rsid w:val="00EF0F45"/>
    <w:rsid w:val="00EF3B8E"/>
    <w:rsid w:val="00EF6676"/>
    <w:rsid w:val="00EF7D50"/>
    <w:rsid w:val="00F00A09"/>
    <w:rsid w:val="00F0176C"/>
    <w:rsid w:val="00F023DA"/>
    <w:rsid w:val="00F04751"/>
    <w:rsid w:val="00F04928"/>
    <w:rsid w:val="00F11535"/>
    <w:rsid w:val="00F12210"/>
    <w:rsid w:val="00F20221"/>
    <w:rsid w:val="00F23514"/>
    <w:rsid w:val="00F248D6"/>
    <w:rsid w:val="00F257CE"/>
    <w:rsid w:val="00F27396"/>
    <w:rsid w:val="00F326CA"/>
    <w:rsid w:val="00F32757"/>
    <w:rsid w:val="00F342D2"/>
    <w:rsid w:val="00F34643"/>
    <w:rsid w:val="00F356B2"/>
    <w:rsid w:val="00F35F0B"/>
    <w:rsid w:val="00F41AC0"/>
    <w:rsid w:val="00F41D1D"/>
    <w:rsid w:val="00F41E7F"/>
    <w:rsid w:val="00F44A47"/>
    <w:rsid w:val="00F50A26"/>
    <w:rsid w:val="00F51092"/>
    <w:rsid w:val="00F547FC"/>
    <w:rsid w:val="00F604D6"/>
    <w:rsid w:val="00F60F41"/>
    <w:rsid w:val="00F61295"/>
    <w:rsid w:val="00F617CB"/>
    <w:rsid w:val="00F63DD4"/>
    <w:rsid w:val="00F66BC0"/>
    <w:rsid w:val="00F7103F"/>
    <w:rsid w:val="00F718B8"/>
    <w:rsid w:val="00F71DA8"/>
    <w:rsid w:val="00F74437"/>
    <w:rsid w:val="00F745A6"/>
    <w:rsid w:val="00F81896"/>
    <w:rsid w:val="00F8453E"/>
    <w:rsid w:val="00F85ACD"/>
    <w:rsid w:val="00F869FB"/>
    <w:rsid w:val="00F86BBE"/>
    <w:rsid w:val="00F900FC"/>
    <w:rsid w:val="00F90CA0"/>
    <w:rsid w:val="00F9164C"/>
    <w:rsid w:val="00F916B4"/>
    <w:rsid w:val="00F933F2"/>
    <w:rsid w:val="00F934FB"/>
    <w:rsid w:val="00F95AD2"/>
    <w:rsid w:val="00F96E52"/>
    <w:rsid w:val="00F979D1"/>
    <w:rsid w:val="00FA1336"/>
    <w:rsid w:val="00FA14EF"/>
    <w:rsid w:val="00FA161B"/>
    <w:rsid w:val="00FA43F5"/>
    <w:rsid w:val="00FA7DF3"/>
    <w:rsid w:val="00FB5223"/>
    <w:rsid w:val="00FC0ABE"/>
    <w:rsid w:val="00FC3054"/>
    <w:rsid w:val="00FD1A29"/>
    <w:rsid w:val="00FD25A4"/>
    <w:rsid w:val="00FD3895"/>
    <w:rsid w:val="00FD4F64"/>
    <w:rsid w:val="00FE1E3B"/>
    <w:rsid w:val="00FE23EE"/>
    <w:rsid w:val="00FE36CB"/>
    <w:rsid w:val="00FE4125"/>
    <w:rsid w:val="00FE5701"/>
    <w:rsid w:val="00FE667E"/>
    <w:rsid w:val="00FE6707"/>
    <w:rsid w:val="00FF1CC3"/>
    <w:rsid w:val="00FF3754"/>
    <w:rsid w:val="00FF3E75"/>
    <w:rsid w:val="00FF7A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0CD1"/>
  <w15:docId w15:val="{5ADE9C08-3525-4DEE-80AE-B9805477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E8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Times11">
    <w:name w:val="CG Times 11"/>
    <w:basedOn w:val="Normal"/>
    <w:link w:val="CGTimes11Char"/>
    <w:rsid w:val="005C2E8B"/>
    <w:rPr>
      <w:rFonts w:ascii="CG Times" w:hAnsi="CG Times"/>
      <w:sz w:val="22"/>
    </w:rPr>
  </w:style>
  <w:style w:type="paragraph" w:styleId="Footer">
    <w:name w:val="footer"/>
    <w:basedOn w:val="Normal"/>
    <w:link w:val="FooterChar"/>
    <w:uiPriority w:val="99"/>
    <w:rsid w:val="005C2E8B"/>
    <w:pPr>
      <w:tabs>
        <w:tab w:val="center" w:pos="4320"/>
        <w:tab w:val="right" w:pos="8640"/>
      </w:tabs>
    </w:pPr>
  </w:style>
  <w:style w:type="character" w:customStyle="1" w:styleId="FooterChar">
    <w:name w:val="Footer Char"/>
    <w:basedOn w:val="DefaultParagraphFont"/>
    <w:link w:val="Footer"/>
    <w:uiPriority w:val="99"/>
    <w:rsid w:val="005C2E8B"/>
    <w:rPr>
      <w:rFonts w:ascii="Times New Roman" w:eastAsia="Times New Roman" w:hAnsi="Times New Roman" w:cs="Times New Roman"/>
      <w:sz w:val="24"/>
      <w:szCs w:val="20"/>
    </w:rPr>
  </w:style>
  <w:style w:type="character" w:styleId="PageNumber">
    <w:name w:val="page number"/>
    <w:basedOn w:val="DefaultParagraphFont"/>
    <w:rsid w:val="005C2E8B"/>
  </w:style>
  <w:style w:type="character" w:customStyle="1" w:styleId="CGTimes11Char">
    <w:name w:val="CG Times 11 Char"/>
    <w:link w:val="CGTimes11"/>
    <w:rsid w:val="005C2E8B"/>
    <w:rPr>
      <w:rFonts w:ascii="CG Times" w:eastAsia="Times New Roman" w:hAnsi="CG Times" w:cs="Times New Roman"/>
      <w:szCs w:val="20"/>
    </w:rPr>
  </w:style>
  <w:style w:type="table" w:styleId="TableGrid">
    <w:name w:val="Table Grid"/>
    <w:basedOn w:val="TableNormal"/>
    <w:uiPriority w:val="59"/>
    <w:rsid w:val="008A5C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9B2"/>
    <w:pPr>
      <w:tabs>
        <w:tab w:val="center" w:pos="4680"/>
        <w:tab w:val="right" w:pos="9360"/>
      </w:tabs>
    </w:pPr>
  </w:style>
  <w:style w:type="character" w:customStyle="1" w:styleId="HeaderChar">
    <w:name w:val="Header Char"/>
    <w:basedOn w:val="DefaultParagraphFont"/>
    <w:link w:val="Header"/>
    <w:uiPriority w:val="99"/>
    <w:rsid w:val="002029B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0E00"/>
    <w:rPr>
      <w:sz w:val="16"/>
      <w:szCs w:val="16"/>
    </w:rPr>
  </w:style>
  <w:style w:type="paragraph" w:styleId="CommentText">
    <w:name w:val="annotation text"/>
    <w:basedOn w:val="Normal"/>
    <w:link w:val="CommentTextChar"/>
    <w:uiPriority w:val="99"/>
    <w:semiHidden/>
    <w:unhideWhenUsed/>
    <w:rsid w:val="00B40E00"/>
    <w:rPr>
      <w:sz w:val="20"/>
    </w:rPr>
  </w:style>
  <w:style w:type="character" w:customStyle="1" w:styleId="CommentTextChar">
    <w:name w:val="Comment Text Char"/>
    <w:basedOn w:val="DefaultParagraphFont"/>
    <w:link w:val="CommentText"/>
    <w:uiPriority w:val="99"/>
    <w:semiHidden/>
    <w:rsid w:val="00B40E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E00"/>
    <w:rPr>
      <w:b/>
      <w:bCs/>
    </w:rPr>
  </w:style>
  <w:style w:type="character" w:customStyle="1" w:styleId="CommentSubjectChar">
    <w:name w:val="Comment Subject Char"/>
    <w:basedOn w:val="CommentTextChar"/>
    <w:link w:val="CommentSubject"/>
    <w:uiPriority w:val="99"/>
    <w:semiHidden/>
    <w:rsid w:val="00B40E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0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00"/>
    <w:rPr>
      <w:rFonts w:ascii="Segoe UI" w:eastAsia="Times New Roman" w:hAnsi="Segoe UI" w:cs="Segoe UI"/>
      <w:sz w:val="18"/>
      <w:szCs w:val="18"/>
    </w:rPr>
  </w:style>
  <w:style w:type="paragraph" w:styleId="ListParagraph">
    <w:name w:val="List Paragraph"/>
    <w:basedOn w:val="Normal"/>
    <w:link w:val="ListParagraphChar"/>
    <w:uiPriority w:val="34"/>
    <w:qFormat/>
    <w:rsid w:val="008156D8"/>
    <w:pPr>
      <w:ind w:left="720"/>
      <w:contextualSpacing/>
    </w:pPr>
  </w:style>
  <w:style w:type="paragraph" w:styleId="FootnoteText">
    <w:name w:val="footnote text"/>
    <w:basedOn w:val="Normal"/>
    <w:link w:val="FootnoteTextChar"/>
    <w:uiPriority w:val="99"/>
    <w:unhideWhenUsed/>
    <w:rsid w:val="00434918"/>
    <w:rPr>
      <w:sz w:val="20"/>
    </w:rPr>
  </w:style>
  <w:style w:type="character" w:customStyle="1" w:styleId="FootnoteTextChar">
    <w:name w:val="Footnote Text Char"/>
    <w:basedOn w:val="DefaultParagraphFont"/>
    <w:link w:val="FootnoteText"/>
    <w:uiPriority w:val="99"/>
    <w:rsid w:val="0043491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434918"/>
    <w:rPr>
      <w:vertAlign w:val="superscript"/>
    </w:rPr>
  </w:style>
  <w:style w:type="character" w:customStyle="1" w:styleId="ListParagraphChar">
    <w:name w:val="List Paragraph Char"/>
    <w:basedOn w:val="DefaultParagraphFont"/>
    <w:link w:val="ListParagraph"/>
    <w:uiPriority w:val="34"/>
    <w:locked/>
    <w:rsid w:val="003C3AEE"/>
    <w:rPr>
      <w:rFonts w:ascii="Times New Roman" w:eastAsia="Times New Roman" w:hAnsi="Times New Roman" w:cs="Times New Roman"/>
      <w:sz w:val="24"/>
      <w:szCs w:val="20"/>
    </w:rPr>
  </w:style>
  <w:style w:type="table" w:styleId="ListTable3">
    <w:name w:val="List Table 3"/>
    <w:basedOn w:val="TableNormal"/>
    <w:uiPriority w:val="48"/>
    <w:rsid w:val="003C3AE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Default">
    <w:name w:val="Default"/>
    <w:rsid w:val="00420DC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27F7F"/>
    <w:rPr>
      <w:color w:val="0000FF" w:themeColor="hyperlink"/>
      <w:u w:val="single"/>
    </w:rPr>
  </w:style>
  <w:style w:type="character" w:styleId="UnresolvedMention">
    <w:name w:val="Unresolved Mention"/>
    <w:basedOn w:val="DefaultParagraphFont"/>
    <w:uiPriority w:val="99"/>
    <w:semiHidden/>
    <w:unhideWhenUsed/>
    <w:rsid w:val="00027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64787">
      <w:bodyDiv w:val="1"/>
      <w:marLeft w:val="0"/>
      <w:marRight w:val="0"/>
      <w:marTop w:val="0"/>
      <w:marBottom w:val="0"/>
      <w:divBdr>
        <w:top w:val="none" w:sz="0" w:space="0" w:color="auto"/>
        <w:left w:val="none" w:sz="0" w:space="0" w:color="auto"/>
        <w:bottom w:val="none" w:sz="0" w:space="0" w:color="auto"/>
        <w:right w:val="none" w:sz="0" w:space="0" w:color="auto"/>
      </w:divBdr>
    </w:div>
    <w:div w:id="185808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kingcounty.gov/~/media/depts/metro/accountability/reports/2022/zero-emission-bus-fleet-transition-plan-may-2022" TargetMode="External"/><Relationship Id="rId1" Type="http://schemas.openxmlformats.org/officeDocument/2006/relationships/hyperlink" Target="https://kingcounty.gov/~/media/depts/metro/accountability/reports/2022/zero-emission-bus-fleet-transition-plan-may-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C766BE52AFCE49BFF8C9E5981B7BB1" ma:contentTypeVersion="10" ma:contentTypeDescription="Create a new document." ma:contentTypeScope="" ma:versionID="a08cbf2a25614058b53784f7ec973484">
  <xsd:schema xmlns:xsd="http://www.w3.org/2001/XMLSchema" xmlns:xs="http://www.w3.org/2001/XMLSchema" xmlns:p="http://schemas.microsoft.com/office/2006/metadata/properties" xmlns:ns3="4aba5fda-01fb-42e4-a102-58659c678a77" targetNamespace="http://schemas.microsoft.com/office/2006/metadata/properties" ma:root="true" ma:fieldsID="5c52963a4240e854101b58bd4ca27871" ns3:_="">
    <xsd:import namespace="4aba5fda-01fb-42e4-a102-58659c678a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a5fda-01fb-42e4-a102-58659c67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137E2D-BBDF-4D0A-870A-9F3BEB0E7A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BFD9A2-A397-40CA-96E0-C2913181A545}">
  <ds:schemaRefs>
    <ds:schemaRef ds:uri="http://schemas.microsoft.com/sharepoint/v3/contenttype/forms"/>
  </ds:schemaRefs>
</ds:datastoreItem>
</file>

<file path=customXml/itemProps3.xml><?xml version="1.0" encoding="utf-8"?>
<ds:datastoreItem xmlns:ds="http://schemas.openxmlformats.org/officeDocument/2006/customXml" ds:itemID="{E388746F-8D59-40F9-B640-4365792AD95F}">
  <ds:schemaRefs>
    <ds:schemaRef ds:uri="http://schemas.openxmlformats.org/officeDocument/2006/bibliography"/>
  </ds:schemaRefs>
</ds:datastoreItem>
</file>

<file path=customXml/itemProps4.xml><?xml version="1.0" encoding="utf-8"?>
<ds:datastoreItem xmlns:ds="http://schemas.openxmlformats.org/officeDocument/2006/customXml" ds:itemID="{C506C7B0-1D3C-47CD-829C-4E4137AAC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a5fda-01fb-42e4-a102-58659c678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19</Pages>
  <Words>6184</Words>
  <Characters>35251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dc:creator>
  <cp:lastModifiedBy>Paribello, Brandi</cp:lastModifiedBy>
  <cp:revision>6</cp:revision>
  <dcterms:created xsi:type="dcterms:W3CDTF">2022-09-30T18:29:00Z</dcterms:created>
  <dcterms:modified xsi:type="dcterms:W3CDTF">2022-10-02T21:55:00Z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0x01010059C766BE52AFCE49BFF8C9E5981B7BB1</vt:lpwstr>
  </property>
</Properties>
</file>