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5260" w14:textId="3D115677" w:rsidR="00F541E1" w:rsidRPr="00C644C5" w:rsidRDefault="00B15462" w:rsidP="00F541E1">
      <w:pPr>
        <w:spacing w:line="264" w:lineRule="auto"/>
        <w:contextualSpacing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C644C5">
        <w:rPr>
          <w:rFonts w:ascii="Arial" w:hAnsi="Arial" w:cs="Arial"/>
          <w:b/>
          <w:smallCaps/>
          <w:sz w:val="28"/>
          <w:szCs w:val="28"/>
          <w:u w:val="single"/>
        </w:rPr>
        <w:t>Tourism</w:t>
      </w:r>
    </w:p>
    <w:p w14:paraId="49BD2117" w14:textId="77777777" w:rsidR="00F541E1" w:rsidRPr="00C644C5" w:rsidRDefault="00F541E1" w:rsidP="00F541E1">
      <w:pPr>
        <w:spacing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644C5">
        <w:rPr>
          <w:rFonts w:ascii="Arial" w:hAnsi="Arial" w:cs="Arial"/>
          <w:smallCaps/>
          <w:szCs w:val="24"/>
        </w:rPr>
        <w:t>Analyst: Leah Krekel-Zoppi</w:t>
      </w:r>
    </w:p>
    <w:p w14:paraId="77AB3EA0" w14:textId="77777777" w:rsidR="00F541E1" w:rsidRPr="00C644C5" w:rsidRDefault="00F541E1" w:rsidP="00F541E1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48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40"/>
        <w:gridCol w:w="180"/>
        <w:gridCol w:w="1596"/>
        <w:gridCol w:w="165"/>
        <w:gridCol w:w="1514"/>
        <w:gridCol w:w="161"/>
        <w:gridCol w:w="896"/>
        <w:gridCol w:w="196"/>
        <w:gridCol w:w="926"/>
        <w:gridCol w:w="6"/>
      </w:tblGrid>
      <w:tr w:rsidR="00F541E1" w:rsidRPr="00C644C5" w14:paraId="12207AD9" w14:textId="77777777" w:rsidTr="00B3701C">
        <w:trPr>
          <w:cantSplit/>
          <w:trHeight w:val="411"/>
          <w:tblHeader/>
          <w:jc w:val="center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E8711" w14:textId="77777777" w:rsidR="00F541E1" w:rsidRPr="00C644C5" w:rsidRDefault="00F541E1" w:rsidP="00B37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E09CA0" w14:textId="77777777" w:rsidR="00F541E1" w:rsidRPr="00C644C5" w:rsidRDefault="00F541E1" w:rsidP="00B37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E56CEE" w14:textId="77777777" w:rsidR="00F541E1" w:rsidRPr="00C644C5" w:rsidRDefault="00F541E1" w:rsidP="00B37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4C5"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  <w:tc>
          <w:tcPr>
            <w:tcW w:w="1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90D940" w14:textId="77777777" w:rsidR="00F541E1" w:rsidRPr="00C644C5" w:rsidRDefault="00F541E1" w:rsidP="00B37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EB5093" w14:textId="77777777" w:rsidR="00F541E1" w:rsidRPr="00C644C5" w:rsidRDefault="00F541E1" w:rsidP="00B37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4C5">
              <w:rPr>
                <w:rFonts w:ascii="Arial" w:hAnsi="Arial" w:cs="Arial"/>
                <w:b/>
                <w:sz w:val="22"/>
                <w:szCs w:val="22"/>
              </w:rPr>
              <w:t>Revenues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7F2000" w14:textId="77777777" w:rsidR="00F541E1" w:rsidRPr="00C644C5" w:rsidRDefault="00F541E1" w:rsidP="00B37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FB5893" w14:textId="77777777" w:rsidR="00F541E1" w:rsidRPr="00C644C5" w:rsidRDefault="00F541E1" w:rsidP="00B37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4C5">
              <w:rPr>
                <w:rFonts w:ascii="Arial" w:hAnsi="Arial" w:cs="Arial"/>
                <w:b/>
                <w:sz w:val="22"/>
                <w:szCs w:val="22"/>
              </w:rPr>
              <w:t>FTEs</w:t>
            </w:r>
          </w:p>
        </w:tc>
        <w:tc>
          <w:tcPr>
            <w:tcW w:w="1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81B832" w14:textId="77777777" w:rsidR="00F541E1" w:rsidRPr="00C644C5" w:rsidRDefault="00F541E1" w:rsidP="00B37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74844A3A" w14:textId="77777777" w:rsidR="00F541E1" w:rsidRPr="00C644C5" w:rsidRDefault="00F541E1" w:rsidP="00B37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4C5">
              <w:rPr>
                <w:rFonts w:ascii="Arial" w:hAnsi="Arial" w:cs="Arial"/>
                <w:b/>
                <w:sz w:val="22"/>
                <w:szCs w:val="22"/>
              </w:rPr>
              <w:t>TLTs</w:t>
            </w:r>
          </w:p>
        </w:tc>
      </w:tr>
      <w:tr w:rsidR="00F541E1" w:rsidRPr="00C644C5" w14:paraId="6242DC38" w14:textId="77777777" w:rsidTr="00B3701C">
        <w:trPr>
          <w:cantSplit/>
          <w:jc w:val="center"/>
        </w:trPr>
        <w:tc>
          <w:tcPr>
            <w:tcW w:w="3840" w:type="dxa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15A057" w14:textId="77777777" w:rsidR="00F541E1" w:rsidRPr="00C644C5" w:rsidRDefault="00F541E1" w:rsidP="00B3701C">
            <w:pPr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2021-2022 Revised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FB4E459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09A913C3" w14:textId="27DB0A0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$</w:t>
            </w:r>
            <w:r w:rsidR="00D017B4" w:rsidRPr="00C644C5">
              <w:rPr>
                <w:rFonts w:ascii="Arial" w:hAnsi="Arial" w:cs="Arial"/>
                <w:sz w:val="22"/>
                <w:szCs w:val="22"/>
              </w:rPr>
              <w:t>11,417,723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667D9C3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4919D0FA" w14:textId="3CBC1CAE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$</w:t>
            </w:r>
            <w:r w:rsidR="0019211B" w:rsidRPr="00C644C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E72D711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16B1959F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000.0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35C5C4B6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184CAF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000.0</w:t>
            </w:r>
          </w:p>
        </w:tc>
      </w:tr>
      <w:tr w:rsidR="00F541E1" w:rsidRPr="00C644C5" w14:paraId="19425135" w14:textId="77777777" w:rsidTr="00B3701C">
        <w:trPr>
          <w:cantSplit/>
          <w:trHeight w:val="216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0739EB" w14:textId="77777777" w:rsidR="00F541E1" w:rsidRPr="00C644C5" w:rsidRDefault="00F541E1" w:rsidP="00B3701C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2023-2024 Base Budget Adjust.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245C396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96D3BD2" w14:textId="5526A076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$</w:t>
            </w:r>
            <w:r w:rsidR="00D017B4" w:rsidRPr="00C644C5">
              <w:rPr>
                <w:rFonts w:ascii="Arial" w:hAnsi="Arial" w:cs="Arial"/>
                <w:sz w:val="22"/>
                <w:szCs w:val="22"/>
              </w:rPr>
              <w:t>1,100,797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E9C9119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17775390" w14:textId="36735C9E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$</w:t>
            </w:r>
            <w:r w:rsidR="0019211B" w:rsidRPr="00C644C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57CD68DE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7E3CF745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000.0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03E6FE1E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AF75AD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000.0</w:t>
            </w:r>
          </w:p>
        </w:tc>
      </w:tr>
      <w:tr w:rsidR="00F541E1" w:rsidRPr="00C644C5" w14:paraId="6A5C180D" w14:textId="77777777" w:rsidTr="00B3701C">
        <w:trPr>
          <w:cantSplit/>
          <w:trHeight w:val="369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320C30" w14:textId="77777777" w:rsidR="00F541E1" w:rsidRPr="00C644C5" w:rsidRDefault="00F541E1" w:rsidP="00B3701C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2023-2024 Decision Packages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B0A4E2D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565EBCB" w14:textId="170E3ABD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$</w:t>
            </w:r>
            <w:r w:rsidR="00D017B4" w:rsidRPr="00C644C5">
              <w:rPr>
                <w:rFonts w:ascii="Arial" w:hAnsi="Arial" w:cs="Arial"/>
                <w:sz w:val="22"/>
                <w:szCs w:val="22"/>
              </w:rPr>
              <w:t>1,776,934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2137D40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40B8C40F" w14:textId="71464F74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$</w:t>
            </w:r>
            <w:r w:rsidR="0019211B" w:rsidRPr="00C644C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0B465C0E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25463F15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 xml:space="preserve">000.0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12EED2BC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17426C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 xml:space="preserve">000.0 </w:t>
            </w:r>
          </w:p>
        </w:tc>
      </w:tr>
      <w:tr w:rsidR="00F541E1" w:rsidRPr="00C644C5" w14:paraId="22C667FA" w14:textId="77777777" w:rsidTr="00B3701C">
        <w:trPr>
          <w:cantSplit/>
          <w:jc w:val="center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139D70" w14:textId="77777777" w:rsidR="00F541E1" w:rsidRPr="00C644C5" w:rsidRDefault="00F541E1" w:rsidP="00B370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4C5">
              <w:rPr>
                <w:rFonts w:ascii="Arial" w:hAnsi="Arial" w:cs="Arial"/>
                <w:b/>
                <w:sz w:val="22"/>
                <w:szCs w:val="22"/>
              </w:rPr>
              <w:t>2023-2024 Proposed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D8BAF0D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745A3" w14:textId="681F3122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D017B4" w:rsidRPr="00C644C5">
              <w:rPr>
                <w:rFonts w:ascii="Arial" w:hAnsi="Arial" w:cs="Arial"/>
                <w:b/>
                <w:sz w:val="22"/>
                <w:szCs w:val="22"/>
              </w:rPr>
              <w:t>14,296</w:t>
            </w:r>
            <w:r w:rsidRPr="00C644C5">
              <w:rPr>
                <w:rFonts w:ascii="Arial" w:hAnsi="Arial" w:cs="Arial"/>
                <w:b/>
                <w:sz w:val="22"/>
                <w:szCs w:val="22"/>
              </w:rPr>
              <w:t>,000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1C755BA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0730C6C5" w14:textId="3E179D99" w:rsidR="00F541E1" w:rsidRPr="00C644C5" w:rsidRDefault="00F541E1" w:rsidP="00B370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44C5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19211B" w:rsidRPr="00C644C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5463354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212C0D76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44C5">
              <w:rPr>
                <w:rFonts w:ascii="Arial" w:hAnsi="Arial" w:cs="Arial"/>
                <w:b/>
                <w:sz w:val="22"/>
                <w:szCs w:val="22"/>
              </w:rPr>
              <w:t>000.0</w:t>
            </w: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320D29BB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06B7CF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44C5">
              <w:rPr>
                <w:rFonts w:ascii="Arial" w:hAnsi="Arial" w:cs="Arial"/>
                <w:b/>
                <w:sz w:val="22"/>
                <w:szCs w:val="22"/>
              </w:rPr>
              <w:t>000.0</w:t>
            </w:r>
          </w:p>
        </w:tc>
      </w:tr>
      <w:tr w:rsidR="00F541E1" w:rsidRPr="00C644C5" w14:paraId="7EB46214" w14:textId="77777777" w:rsidTr="00B3701C">
        <w:trPr>
          <w:cantSplit/>
          <w:trHeight w:val="261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8FAB40" w14:textId="77777777" w:rsidR="00F541E1" w:rsidRPr="00C644C5" w:rsidRDefault="00F541E1" w:rsidP="00B3701C">
            <w:pPr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% Change from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2A99064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E151383" w14:textId="1975948A" w:rsidR="00F541E1" w:rsidRPr="00C644C5" w:rsidRDefault="006F6C66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25</w:t>
            </w:r>
            <w:r w:rsidR="00F541E1" w:rsidRPr="00C644C5">
              <w:rPr>
                <w:rFonts w:ascii="Arial" w:hAnsi="Arial" w:cs="Arial"/>
                <w:sz w:val="22"/>
                <w:szCs w:val="22"/>
              </w:rPr>
              <w:t>.</w:t>
            </w:r>
            <w:r w:rsidRPr="00C644C5">
              <w:rPr>
                <w:rFonts w:ascii="Arial" w:hAnsi="Arial" w:cs="Arial"/>
                <w:sz w:val="22"/>
                <w:szCs w:val="22"/>
              </w:rPr>
              <w:t>2</w:t>
            </w:r>
            <w:r w:rsidR="00F541E1" w:rsidRPr="00C644C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99A517E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103544DD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69F8FF3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126249ED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5FBACB1C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0ECBFD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1E1" w:rsidRPr="00C644C5" w14:paraId="4B167AC8" w14:textId="77777777" w:rsidTr="00B3701C">
        <w:trPr>
          <w:cantSplit/>
          <w:trHeight w:val="396"/>
          <w:jc w:val="center"/>
        </w:trPr>
        <w:tc>
          <w:tcPr>
            <w:tcW w:w="384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2389CE" w14:textId="77777777" w:rsidR="00F541E1" w:rsidRPr="00C644C5" w:rsidRDefault="00F541E1" w:rsidP="00B3701C">
            <w:pPr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Dec. Pkg. as % of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6A9D73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26F0AF" w14:textId="2197064F" w:rsidR="00F541E1" w:rsidRPr="00C644C5" w:rsidRDefault="001B1CE4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sz w:val="22"/>
                <w:szCs w:val="22"/>
              </w:rPr>
              <w:t>12</w:t>
            </w:r>
            <w:r w:rsidR="00F541E1" w:rsidRPr="00C644C5">
              <w:rPr>
                <w:rFonts w:ascii="Arial" w:hAnsi="Arial" w:cs="Arial"/>
                <w:sz w:val="22"/>
                <w:szCs w:val="22"/>
              </w:rPr>
              <w:t>.</w:t>
            </w:r>
            <w:r w:rsidRPr="00C644C5">
              <w:rPr>
                <w:rFonts w:ascii="Arial" w:hAnsi="Arial" w:cs="Arial"/>
                <w:sz w:val="22"/>
                <w:szCs w:val="22"/>
              </w:rPr>
              <w:t>4</w:t>
            </w:r>
            <w:r w:rsidR="00F541E1" w:rsidRPr="00C644C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EC5458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116CAE08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5D1857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3B7B7442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</w:tcPr>
          <w:p w14:paraId="0A27D9BA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D86E91" w14:textId="77777777" w:rsidR="00F541E1" w:rsidRPr="00C644C5" w:rsidRDefault="00F541E1" w:rsidP="00B370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1E1" w:rsidRPr="00C644C5" w14:paraId="6583E579" w14:textId="77777777" w:rsidTr="00B3701C">
        <w:trPr>
          <w:gridAfter w:val="1"/>
          <w:wAfter w:w="6" w:type="dxa"/>
          <w:cantSplit/>
          <w:trHeight w:val="287"/>
          <w:jc w:val="center"/>
        </w:trPr>
        <w:tc>
          <w:tcPr>
            <w:tcW w:w="9474" w:type="dxa"/>
            <w:gridSpan w:val="9"/>
            <w:tcBorders>
              <w:top w:val="dotted" w:sz="4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7116C9" w14:textId="77777777" w:rsidR="00F541E1" w:rsidRPr="00C644C5" w:rsidRDefault="00F541E1" w:rsidP="00B3701C">
            <w:pPr>
              <w:spacing w:line="264" w:lineRule="auto"/>
              <w:ind w:left="216"/>
              <w:rPr>
                <w:rFonts w:ascii="Arial" w:hAnsi="Arial" w:cs="Arial"/>
                <w:b/>
                <w:sz w:val="22"/>
                <w:szCs w:val="22"/>
              </w:rPr>
            </w:pPr>
            <w:r w:rsidRPr="00C644C5">
              <w:rPr>
                <w:rFonts w:ascii="Arial" w:hAnsi="Arial" w:cs="Arial"/>
                <w:b/>
                <w:sz w:val="22"/>
                <w:szCs w:val="22"/>
              </w:rPr>
              <w:t xml:space="preserve">Major Revenue Sources: </w:t>
            </w:r>
            <w:r w:rsidRPr="00C644C5">
              <w:rPr>
                <w:rFonts w:ascii="Arial" w:hAnsi="Arial" w:cs="Arial"/>
                <w:bCs/>
                <w:sz w:val="22"/>
                <w:szCs w:val="22"/>
              </w:rPr>
              <w:t>Lodging Tax</w:t>
            </w:r>
          </w:p>
        </w:tc>
      </w:tr>
      <w:tr w:rsidR="00F541E1" w:rsidRPr="00C644C5" w14:paraId="0205D4FA" w14:textId="77777777" w:rsidTr="00B3701C">
        <w:trPr>
          <w:gridAfter w:val="1"/>
          <w:wAfter w:w="6" w:type="dxa"/>
          <w:cantSplit/>
          <w:trHeight w:val="396"/>
          <w:jc w:val="center"/>
        </w:trPr>
        <w:tc>
          <w:tcPr>
            <w:tcW w:w="9474" w:type="dxa"/>
            <w:gridSpan w:val="9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07459A" w14:textId="50192D5A" w:rsidR="00F541E1" w:rsidRPr="00C644C5" w:rsidRDefault="00F541E1" w:rsidP="00B3701C">
            <w:pPr>
              <w:spacing w:line="264" w:lineRule="auto"/>
              <w:ind w:left="216"/>
              <w:rPr>
                <w:rFonts w:ascii="Arial" w:hAnsi="Arial" w:cs="Arial"/>
                <w:sz w:val="22"/>
                <w:szCs w:val="22"/>
              </w:rPr>
            </w:pPr>
            <w:r w:rsidRPr="00C644C5">
              <w:rPr>
                <w:rFonts w:ascii="Arial" w:hAnsi="Arial" w:cs="Arial"/>
                <w:b/>
                <w:sz w:val="22"/>
                <w:szCs w:val="22"/>
              </w:rPr>
              <w:t xml:space="preserve">Base Budget Assumptions: </w:t>
            </w:r>
            <w:r w:rsidR="00094A4C" w:rsidRPr="00C644C5">
              <w:rPr>
                <w:rFonts w:ascii="Arial" w:hAnsi="Arial" w:cs="Arial"/>
                <w:bCs/>
                <w:sz w:val="22"/>
                <w:szCs w:val="22"/>
              </w:rPr>
              <w:t>Revenue adjustments</w:t>
            </w:r>
          </w:p>
        </w:tc>
      </w:tr>
    </w:tbl>
    <w:p w14:paraId="01202EB5" w14:textId="77777777" w:rsidR="00F541E1" w:rsidRPr="00172D6C" w:rsidRDefault="00F541E1" w:rsidP="00172D6C">
      <w:pPr>
        <w:spacing w:line="264" w:lineRule="auto"/>
        <w:rPr>
          <w:rFonts w:ascii="Arial" w:hAnsi="Arial" w:cs="Arial"/>
          <w:b/>
          <w:smallCaps/>
          <w:szCs w:val="24"/>
          <w:u w:val="single"/>
        </w:rPr>
      </w:pPr>
    </w:p>
    <w:p w14:paraId="4AAC8363" w14:textId="77777777" w:rsidR="00F541E1" w:rsidRPr="00172D6C" w:rsidRDefault="00F541E1" w:rsidP="00172D6C">
      <w:pPr>
        <w:spacing w:line="264" w:lineRule="auto"/>
        <w:jc w:val="center"/>
        <w:rPr>
          <w:rFonts w:ascii="Arial" w:hAnsi="Arial" w:cs="Arial"/>
          <w:b/>
          <w:szCs w:val="24"/>
        </w:rPr>
      </w:pPr>
      <w:r w:rsidRPr="00172D6C">
        <w:rPr>
          <w:rFonts w:ascii="Arial" w:hAnsi="Arial" w:cs="Arial"/>
          <w:b/>
          <w:smallCaps/>
          <w:szCs w:val="24"/>
          <w:u w:val="single"/>
        </w:rPr>
        <w:t>Description</w:t>
      </w:r>
    </w:p>
    <w:p w14:paraId="57393831" w14:textId="77777777" w:rsidR="00F541E1" w:rsidRPr="00172D6C" w:rsidRDefault="00F541E1" w:rsidP="00172D6C">
      <w:pPr>
        <w:spacing w:line="264" w:lineRule="auto"/>
        <w:jc w:val="both"/>
        <w:rPr>
          <w:rFonts w:ascii="Arial" w:hAnsi="Arial" w:cs="Arial"/>
          <w:szCs w:val="24"/>
        </w:rPr>
      </w:pPr>
    </w:p>
    <w:p w14:paraId="492DA331" w14:textId="436BE40A" w:rsidR="00F541E1" w:rsidRPr="00172D6C" w:rsidRDefault="00F541E1" w:rsidP="00172D6C">
      <w:pPr>
        <w:pStyle w:val="BodyText"/>
        <w:jc w:val="both"/>
      </w:pPr>
      <w:r w:rsidRPr="00172D6C">
        <w:t xml:space="preserve">This appropriation unit resides within the Lodging Tax Fund and is used to </w:t>
      </w:r>
      <w:r w:rsidR="007557AB">
        <w:t xml:space="preserve">allocate </w:t>
      </w:r>
      <w:r w:rsidR="00652BE8">
        <w:t>lodging tax</w:t>
      </w:r>
      <w:r w:rsidRPr="00172D6C">
        <w:t xml:space="preserve"> revenues </w:t>
      </w:r>
      <w:r w:rsidR="00652BE8">
        <w:t xml:space="preserve">designated for tourism </w:t>
      </w:r>
      <w:r w:rsidR="00AB714C">
        <w:t>promotion</w:t>
      </w:r>
      <w:r w:rsidR="00652BE8">
        <w:t xml:space="preserve">. </w:t>
      </w:r>
      <w:r w:rsidRPr="00172D6C">
        <w:t xml:space="preserve">The portion of the Lodging Tax receipts </w:t>
      </w:r>
      <w:r w:rsidR="0049274D">
        <w:t xml:space="preserve">allocated to </w:t>
      </w:r>
      <w:r w:rsidR="00DB5A72">
        <w:t>the Tourism allocation unit was established</w:t>
      </w:r>
      <w:r w:rsidRPr="00172D6C">
        <w:t xml:space="preserve"> by King County Ordinance 18788.</w:t>
      </w:r>
      <w:r w:rsidR="00C466C6">
        <w:t xml:space="preserve">  These</w:t>
      </w:r>
      <w:r w:rsidR="00FD44ED">
        <w:t xml:space="preserve"> revenues are to be used to repay bonds for the Building for Culture program, support the Washington State Major League Baseball Stadium Public Benefit District, </w:t>
      </w:r>
      <w:r w:rsidR="00215E05">
        <w:t>and support tourism promotion activities in King County.</w:t>
      </w:r>
    </w:p>
    <w:p w14:paraId="76DA5E26" w14:textId="77777777" w:rsidR="00F541E1" w:rsidRPr="00172D6C" w:rsidRDefault="00F541E1" w:rsidP="00172D6C">
      <w:pPr>
        <w:rPr>
          <w:rFonts w:ascii="Arial" w:hAnsi="Arial" w:cs="Arial"/>
          <w:szCs w:val="24"/>
        </w:rPr>
      </w:pPr>
    </w:p>
    <w:p w14:paraId="325ABF5B" w14:textId="77777777" w:rsidR="00F541E1" w:rsidRPr="00172D6C" w:rsidRDefault="00F541E1" w:rsidP="00172D6C">
      <w:pPr>
        <w:jc w:val="center"/>
        <w:rPr>
          <w:rFonts w:ascii="Arial" w:hAnsi="Arial" w:cs="Arial"/>
          <w:b/>
          <w:szCs w:val="24"/>
        </w:rPr>
      </w:pPr>
      <w:r w:rsidRPr="00172D6C">
        <w:rPr>
          <w:rFonts w:ascii="Arial" w:hAnsi="Arial" w:cs="Arial"/>
          <w:b/>
          <w:smallCaps/>
          <w:szCs w:val="24"/>
          <w:u w:val="single"/>
        </w:rPr>
        <w:t>Summary of Proposed Budget and Changes</w:t>
      </w:r>
    </w:p>
    <w:p w14:paraId="5E6BE118" w14:textId="77777777" w:rsidR="00F541E1" w:rsidRPr="00172D6C" w:rsidRDefault="00F541E1" w:rsidP="00172D6C">
      <w:pPr>
        <w:jc w:val="both"/>
        <w:rPr>
          <w:rFonts w:ascii="Arial" w:hAnsi="Arial" w:cs="Arial"/>
          <w:szCs w:val="24"/>
        </w:rPr>
      </w:pPr>
    </w:p>
    <w:p w14:paraId="6BA74A28" w14:textId="0F98DB81" w:rsidR="00F541E1" w:rsidRDefault="00F541E1" w:rsidP="00172D6C">
      <w:pPr>
        <w:jc w:val="both"/>
        <w:rPr>
          <w:rFonts w:ascii="Arial" w:hAnsi="Arial" w:cs="Arial"/>
          <w:szCs w:val="24"/>
        </w:rPr>
      </w:pPr>
      <w:r w:rsidRPr="00172D6C">
        <w:rPr>
          <w:rFonts w:ascii="Arial" w:hAnsi="Arial" w:cs="Arial"/>
          <w:szCs w:val="24"/>
        </w:rPr>
        <w:t xml:space="preserve">The </w:t>
      </w:r>
      <w:r w:rsidR="00482D10">
        <w:rPr>
          <w:rFonts w:ascii="Arial" w:hAnsi="Arial" w:cs="Arial"/>
          <w:szCs w:val="24"/>
        </w:rPr>
        <w:t>25.</w:t>
      </w:r>
      <w:r w:rsidR="00B75F98">
        <w:rPr>
          <w:rFonts w:ascii="Arial" w:hAnsi="Arial" w:cs="Arial"/>
          <w:szCs w:val="24"/>
        </w:rPr>
        <w:t>2</w:t>
      </w:r>
      <w:r w:rsidRPr="00172D6C">
        <w:rPr>
          <w:rFonts w:ascii="Arial" w:hAnsi="Arial" w:cs="Arial"/>
          <w:szCs w:val="24"/>
        </w:rPr>
        <w:t xml:space="preserve"> percent increase in the </w:t>
      </w:r>
      <w:r w:rsidR="00B75F98">
        <w:rPr>
          <w:rFonts w:ascii="Arial" w:hAnsi="Arial" w:cs="Arial"/>
          <w:szCs w:val="24"/>
        </w:rPr>
        <w:t xml:space="preserve">Tourism </w:t>
      </w:r>
      <w:r w:rsidR="0049274D">
        <w:rPr>
          <w:rFonts w:ascii="Arial" w:hAnsi="Arial" w:cs="Arial"/>
          <w:szCs w:val="24"/>
        </w:rPr>
        <w:t>appropriation</w:t>
      </w:r>
      <w:r w:rsidRPr="00172D6C">
        <w:rPr>
          <w:rFonts w:ascii="Arial" w:hAnsi="Arial" w:cs="Arial"/>
          <w:szCs w:val="24"/>
        </w:rPr>
        <w:t xml:space="preserve"> in the proposed 2023-2024 Budget is a reflection of the Office of Economic and Financial Analysis forecasting that projects a significant increase in Lodging Tax receipts in the coming biennium as the lodging sector recovers from the impacts of the COVID-19 pandemic.</w:t>
      </w:r>
    </w:p>
    <w:p w14:paraId="76298CFD" w14:textId="3312CEA3" w:rsidR="00BE00E9" w:rsidRDefault="00BE00E9" w:rsidP="00172D6C">
      <w:pPr>
        <w:jc w:val="both"/>
        <w:rPr>
          <w:rFonts w:ascii="Arial" w:hAnsi="Arial" w:cs="Arial"/>
          <w:szCs w:val="24"/>
        </w:rPr>
      </w:pPr>
    </w:p>
    <w:p w14:paraId="738E1183" w14:textId="0FABD970" w:rsidR="00BE00E9" w:rsidRPr="00172D6C" w:rsidRDefault="00B61550" w:rsidP="00172D6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2023-</w:t>
      </w:r>
      <w:r w:rsidR="00AC0CD2">
        <w:rPr>
          <w:rFonts w:ascii="Arial" w:hAnsi="Arial" w:cs="Arial"/>
          <w:szCs w:val="24"/>
        </w:rPr>
        <w:t>2024, t</w:t>
      </w:r>
      <w:r w:rsidR="001B592B">
        <w:rPr>
          <w:rFonts w:ascii="Arial" w:hAnsi="Arial" w:cs="Arial"/>
          <w:szCs w:val="24"/>
        </w:rPr>
        <w:t>he financial pl</w:t>
      </w:r>
      <w:r>
        <w:rPr>
          <w:rFonts w:ascii="Arial" w:hAnsi="Arial" w:cs="Arial"/>
          <w:szCs w:val="24"/>
        </w:rPr>
        <w:t xml:space="preserve">an for the Lodging Tax Fund designates </w:t>
      </w:r>
      <w:r w:rsidR="00AC0CD2">
        <w:rPr>
          <w:rFonts w:ascii="Arial" w:hAnsi="Arial" w:cs="Arial"/>
          <w:szCs w:val="24"/>
        </w:rPr>
        <w:t xml:space="preserve">$2.5 million for tourism promotion, approximately $6.1 million for </w:t>
      </w:r>
      <w:r w:rsidR="00226600">
        <w:rPr>
          <w:rFonts w:ascii="Arial" w:hAnsi="Arial" w:cs="Arial"/>
          <w:szCs w:val="24"/>
        </w:rPr>
        <w:t>the public facility district, and appro</w:t>
      </w:r>
      <w:r w:rsidR="009C1E2C">
        <w:rPr>
          <w:rFonts w:ascii="Arial" w:hAnsi="Arial" w:cs="Arial"/>
          <w:szCs w:val="24"/>
        </w:rPr>
        <w:t>ximately $4.6 million for debt service.</w:t>
      </w:r>
    </w:p>
    <w:p w14:paraId="0BD4C4B7" w14:textId="77777777" w:rsidR="00F541E1" w:rsidRPr="00172D6C" w:rsidRDefault="00F541E1" w:rsidP="00172D6C">
      <w:pPr>
        <w:jc w:val="both"/>
        <w:rPr>
          <w:rFonts w:ascii="Arial" w:hAnsi="Arial" w:cs="Arial"/>
          <w:szCs w:val="24"/>
        </w:rPr>
      </w:pPr>
    </w:p>
    <w:p w14:paraId="7C8B4E68" w14:textId="77777777" w:rsidR="00F541E1" w:rsidRPr="00172D6C" w:rsidRDefault="00F541E1" w:rsidP="00172D6C">
      <w:pPr>
        <w:spacing w:line="264" w:lineRule="auto"/>
        <w:jc w:val="center"/>
        <w:rPr>
          <w:rFonts w:ascii="Arial" w:hAnsi="Arial" w:cs="Arial"/>
          <w:b/>
          <w:smallCaps/>
          <w:szCs w:val="24"/>
          <w:u w:val="single"/>
        </w:rPr>
      </w:pPr>
      <w:r w:rsidRPr="00172D6C">
        <w:rPr>
          <w:rFonts w:ascii="Arial" w:hAnsi="Arial" w:cs="Arial"/>
          <w:b/>
          <w:smallCaps/>
          <w:szCs w:val="24"/>
          <w:u w:val="single"/>
        </w:rPr>
        <w:t>Key Issues</w:t>
      </w:r>
    </w:p>
    <w:p w14:paraId="074BF940" w14:textId="77777777" w:rsidR="00F541E1" w:rsidRPr="00172D6C" w:rsidRDefault="00F541E1" w:rsidP="00172D6C">
      <w:pPr>
        <w:spacing w:line="264" w:lineRule="auto"/>
        <w:jc w:val="center"/>
        <w:rPr>
          <w:rFonts w:ascii="Arial" w:hAnsi="Arial" w:cs="Arial"/>
          <w:szCs w:val="24"/>
        </w:rPr>
      </w:pPr>
    </w:p>
    <w:p w14:paraId="0CBBB9A7" w14:textId="53875706" w:rsidR="002220A5" w:rsidRPr="00172D6C" w:rsidRDefault="00F541E1" w:rsidP="00172D6C">
      <w:pPr>
        <w:pStyle w:val="BodyText"/>
      </w:pPr>
      <w:r w:rsidRPr="00172D6C">
        <w:t>Staff have not identified any issues for this budget.</w:t>
      </w:r>
    </w:p>
    <w:sectPr w:rsidR="002220A5" w:rsidRPr="00172D6C" w:rsidSect="008E7755">
      <w:footerReference w:type="even" r:id="rId11"/>
      <w:footerReference w:type="default" r:id="rId12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912F" w14:textId="77777777" w:rsidR="004127C4" w:rsidRDefault="004567F8">
      <w:r>
        <w:separator/>
      </w:r>
    </w:p>
  </w:endnote>
  <w:endnote w:type="continuationSeparator" w:id="0">
    <w:p w14:paraId="05437A06" w14:textId="77777777" w:rsidR="004127C4" w:rsidRDefault="004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6D38" w14:textId="77777777" w:rsidR="00FD1A00" w:rsidRDefault="00570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AF8E7" w14:textId="77777777" w:rsidR="00FD1A00" w:rsidRDefault="00AC78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3672" w14:textId="6361CE0E" w:rsidR="00FD1A00" w:rsidRDefault="00AC789B">
    <w:pPr>
      <w:pStyle w:val="Footer"/>
      <w:jc w:val="center"/>
    </w:pPr>
  </w:p>
  <w:p w14:paraId="35088CA8" w14:textId="77777777" w:rsidR="00FD1A00" w:rsidRDefault="00AC7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8D74" w14:textId="77777777" w:rsidR="004127C4" w:rsidRDefault="004567F8">
      <w:r>
        <w:separator/>
      </w:r>
    </w:p>
  </w:footnote>
  <w:footnote w:type="continuationSeparator" w:id="0">
    <w:p w14:paraId="006AC5AB" w14:textId="77777777" w:rsidR="004127C4" w:rsidRDefault="0045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7ED"/>
    <w:multiLevelType w:val="hybridMultilevel"/>
    <w:tmpl w:val="9A6A7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E2F0B"/>
    <w:multiLevelType w:val="hybridMultilevel"/>
    <w:tmpl w:val="F8E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7C4C"/>
    <w:multiLevelType w:val="hybridMultilevel"/>
    <w:tmpl w:val="663EC3BC"/>
    <w:lvl w:ilvl="0" w:tplc="46D6D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F051F"/>
    <w:multiLevelType w:val="hybridMultilevel"/>
    <w:tmpl w:val="0928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E8B"/>
    <w:rsid w:val="000168DD"/>
    <w:rsid w:val="0004254D"/>
    <w:rsid w:val="00083F57"/>
    <w:rsid w:val="00087CD0"/>
    <w:rsid w:val="00094A4C"/>
    <w:rsid w:val="000D7EDA"/>
    <w:rsid w:val="00107A61"/>
    <w:rsid w:val="00172D6C"/>
    <w:rsid w:val="0019211B"/>
    <w:rsid w:val="001B1CE4"/>
    <w:rsid w:val="001B592B"/>
    <w:rsid w:val="001F39C9"/>
    <w:rsid w:val="002029B2"/>
    <w:rsid w:val="00215E05"/>
    <w:rsid w:val="002220A5"/>
    <w:rsid w:val="00226600"/>
    <w:rsid w:val="00236A42"/>
    <w:rsid w:val="002662BD"/>
    <w:rsid w:val="002A759F"/>
    <w:rsid w:val="002E35C0"/>
    <w:rsid w:val="00334B6F"/>
    <w:rsid w:val="003605CB"/>
    <w:rsid w:val="003F73E3"/>
    <w:rsid w:val="004127C4"/>
    <w:rsid w:val="00443370"/>
    <w:rsid w:val="004567F8"/>
    <w:rsid w:val="0046704C"/>
    <w:rsid w:val="00482D10"/>
    <w:rsid w:val="0049274D"/>
    <w:rsid w:val="004B4EC7"/>
    <w:rsid w:val="004D0115"/>
    <w:rsid w:val="004E22CD"/>
    <w:rsid w:val="00547964"/>
    <w:rsid w:val="00547B49"/>
    <w:rsid w:val="00570083"/>
    <w:rsid w:val="00580825"/>
    <w:rsid w:val="005A41EB"/>
    <w:rsid w:val="005B1223"/>
    <w:rsid w:val="005B7D48"/>
    <w:rsid w:val="005C2E8B"/>
    <w:rsid w:val="005D2B85"/>
    <w:rsid w:val="005D49A1"/>
    <w:rsid w:val="00617BEF"/>
    <w:rsid w:val="0063060C"/>
    <w:rsid w:val="00652BE8"/>
    <w:rsid w:val="00657AD7"/>
    <w:rsid w:val="006C7A7A"/>
    <w:rsid w:val="006F4699"/>
    <w:rsid w:val="006F6C66"/>
    <w:rsid w:val="007557AB"/>
    <w:rsid w:val="007A2ABB"/>
    <w:rsid w:val="007D0720"/>
    <w:rsid w:val="008156D8"/>
    <w:rsid w:val="0087000B"/>
    <w:rsid w:val="008A28C6"/>
    <w:rsid w:val="008A5CF4"/>
    <w:rsid w:val="008C07EB"/>
    <w:rsid w:val="008E7755"/>
    <w:rsid w:val="00986E6B"/>
    <w:rsid w:val="009A5126"/>
    <w:rsid w:val="009B26F5"/>
    <w:rsid w:val="009C1E2C"/>
    <w:rsid w:val="009E0017"/>
    <w:rsid w:val="009E036B"/>
    <w:rsid w:val="009F3F40"/>
    <w:rsid w:val="00A27DEA"/>
    <w:rsid w:val="00A31F54"/>
    <w:rsid w:val="00A45B01"/>
    <w:rsid w:val="00AB1E4D"/>
    <w:rsid w:val="00AB714C"/>
    <w:rsid w:val="00AC0CD2"/>
    <w:rsid w:val="00AC789B"/>
    <w:rsid w:val="00B15462"/>
    <w:rsid w:val="00B40E00"/>
    <w:rsid w:val="00B42E40"/>
    <w:rsid w:val="00B46CA9"/>
    <w:rsid w:val="00B61550"/>
    <w:rsid w:val="00B75F98"/>
    <w:rsid w:val="00B84C5D"/>
    <w:rsid w:val="00BE00E9"/>
    <w:rsid w:val="00BF543C"/>
    <w:rsid w:val="00C13DEB"/>
    <w:rsid w:val="00C466C6"/>
    <w:rsid w:val="00C644C5"/>
    <w:rsid w:val="00CA4443"/>
    <w:rsid w:val="00CB3CC8"/>
    <w:rsid w:val="00D017B4"/>
    <w:rsid w:val="00D1233D"/>
    <w:rsid w:val="00D566D0"/>
    <w:rsid w:val="00D861DB"/>
    <w:rsid w:val="00DB5A72"/>
    <w:rsid w:val="00DB63D4"/>
    <w:rsid w:val="00DD345D"/>
    <w:rsid w:val="00DE2902"/>
    <w:rsid w:val="00E20775"/>
    <w:rsid w:val="00E35D91"/>
    <w:rsid w:val="00E642CF"/>
    <w:rsid w:val="00E74ACE"/>
    <w:rsid w:val="00EC5BF3"/>
    <w:rsid w:val="00F20221"/>
    <w:rsid w:val="00F248D6"/>
    <w:rsid w:val="00F41D1D"/>
    <w:rsid w:val="00F51092"/>
    <w:rsid w:val="00F541E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0CD1"/>
  <w15:docId w15:val="{5ADE9C08-3525-4DEE-80AE-B9805477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Times11">
    <w:name w:val="CG Times 11"/>
    <w:basedOn w:val="Normal"/>
    <w:link w:val="CGTimes11Char"/>
    <w:rsid w:val="005C2E8B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C2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8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C2E8B"/>
  </w:style>
  <w:style w:type="character" w:customStyle="1" w:styleId="CGTimes11Char">
    <w:name w:val="CG Times 11 Char"/>
    <w:link w:val="CGTimes11"/>
    <w:rsid w:val="005C2E8B"/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8A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9B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0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E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E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E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6D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541E1"/>
    <w:pPr>
      <w:widowControl w:val="0"/>
      <w:autoSpaceDE w:val="0"/>
      <w:autoSpaceDN w:val="0"/>
    </w:pPr>
    <w:rPr>
      <w:rFonts w:ascii="Arial" w:eastAsia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41E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766BE52AFCE49BFF8C9E5981B7BB1" ma:contentTypeVersion="10" ma:contentTypeDescription="Create a new document." ma:contentTypeScope="" ma:versionID="a08cbf2a25614058b53784f7ec973484">
  <xsd:schema xmlns:xsd="http://www.w3.org/2001/XMLSchema" xmlns:xs="http://www.w3.org/2001/XMLSchema" xmlns:p="http://schemas.microsoft.com/office/2006/metadata/properties" xmlns:ns3="4aba5fda-01fb-42e4-a102-58659c678a77" targetNamespace="http://schemas.microsoft.com/office/2006/metadata/properties" ma:root="true" ma:fieldsID="5c52963a4240e854101b58bd4ca27871" ns3:_="">
    <xsd:import namespace="4aba5fda-01fb-42e4-a102-58659c678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5fda-01fb-42e4-a102-58659c678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6C7B0-1D3C-47CD-829C-4E4137AAC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5fda-01fb-42e4-a102-58659c678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8746F-8D59-40F9-B640-4365792AD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FD9A2-A397-40CA-96E0-C2913181A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37E2D-BBDF-4D0A-870A-9F3BEB0E7A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ba5fda-01fb-42e4-a102-58659c678a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Andrew</dc:creator>
  <cp:lastModifiedBy>Paribello, Brandi</cp:lastModifiedBy>
  <cp:revision>3</cp:revision>
  <dcterms:created xsi:type="dcterms:W3CDTF">2022-09-29T21:25:00Z</dcterms:created>
  <dcterms:modified xsi:type="dcterms:W3CDTF">2022-09-30T17:37:00Z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0x01010059C766BE52AFCE49BFF8C9E5981B7BB1</vt:lpwstr>
  </property>
</Properties>
</file>