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E6F8" w14:textId="4D42B7CA" w:rsidR="00DE2CC6" w:rsidRPr="0063060C" w:rsidRDefault="00DE2CC6" w:rsidP="00DE2CC6">
      <w:pPr>
        <w:spacing w:line="264" w:lineRule="auto"/>
        <w:contextualSpacing/>
        <w:jc w:val="center"/>
        <w:rPr>
          <w:rFonts w:ascii="Arial" w:hAnsi="Arial" w:cs="Arial"/>
          <w:b/>
          <w:smallCaps/>
          <w:sz w:val="28"/>
          <w:szCs w:val="28"/>
          <w:u w:val="single"/>
        </w:rPr>
      </w:pPr>
      <w:r>
        <w:rPr>
          <w:rFonts w:ascii="Arial" w:hAnsi="Arial" w:cs="Arial"/>
          <w:b/>
          <w:smallCaps/>
          <w:sz w:val="28"/>
          <w:szCs w:val="28"/>
          <w:u w:val="single"/>
        </w:rPr>
        <w:t>WASTEWATER</w:t>
      </w:r>
      <w:r w:rsidR="00EB35CB">
        <w:rPr>
          <w:rFonts w:ascii="Arial" w:hAnsi="Arial" w:cs="Arial"/>
          <w:b/>
          <w:smallCaps/>
          <w:sz w:val="28"/>
          <w:szCs w:val="28"/>
          <w:u w:val="single"/>
        </w:rPr>
        <w:t xml:space="preserve"> DEBT SERVICE</w:t>
      </w:r>
    </w:p>
    <w:p w14:paraId="6F488352" w14:textId="77777777" w:rsidR="00DE2CC6" w:rsidRPr="0063060C" w:rsidRDefault="00DE2CC6" w:rsidP="00DE2CC6">
      <w:pPr>
        <w:spacing w:line="264" w:lineRule="auto"/>
        <w:contextualSpacing/>
        <w:jc w:val="center"/>
        <w:rPr>
          <w:rFonts w:ascii="Arial" w:hAnsi="Arial" w:cs="Arial"/>
          <w:b/>
          <w:sz w:val="28"/>
          <w:szCs w:val="28"/>
        </w:rPr>
      </w:pPr>
      <w:r>
        <w:rPr>
          <w:rFonts w:ascii="Arial" w:hAnsi="Arial" w:cs="Arial"/>
          <w:smallCaps/>
          <w:szCs w:val="24"/>
        </w:rPr>
        <w:t>Analyst: Mike Reed</w:t>
      </w:r>
    </w:p>
    <w:p w14:paraId="4BE2C8B7" w14:textId="2E12C86E" w:rsidR="00DE2CC6" w:rsidRPr="001C4B19" w:rsidRDefault="00DE2CC6" w:rsidP="00DE2CC6">
      <w:pPr>
        <w:rPr>
          <w:rFonts w:ascii="Arial" w:hAnsi="Arial" w:cs="Arial"/>
          <w:b/>
          <w:szCs w:val="24"/>
        </w:rPr>
      </w:pPr>
    </w:p>
    <w:tbl>
      <w:tblPr>
        <w:tblStyle w:val="TableGrid"/>
        <w:tblW w:w="9480" w:type="dxa"/>
        <w:jc w:val="center"/>
        <w:tblCellMar>
          <w:left w:w="72" w:type="dxa"/>
          <w:right w:w="72" w:type="dxa"/>
        </w:tblCellMar>
        <w:tblLook w:val="04A0" w:firstRow="1" w:lastRow="0" w:firstColumn="1" w:lastColumn="0" w:noHBand="0" w:noVBand="1"/>
      </w:tblPr>
      <w:tblGrid>
        <w:gridCol w:w="3683"/>
        <w:gridCol w:w="178"/>
        <w:gridCol w:w="1637"/>
        <w:gridCol w:w="164"/>
        <w:gridCol w:w="1667"/>
        <w:gridCol w:w="160"/>
        <w:gridCol w:w="882"/>
        <w:gridCol w:w="193"/>
        <w:gridCol w:w="910"/>
        <w:gridCol w:w="6"/>
      </w:tblGrid>
      <w:tr w:rsidR="00DE2CC6" w:rsidRPr="008D0300" w14:paraId="0E92AAE0" w14:textId="77777777" w:rsidTr="00435D3D">
        <w:trPr>
          <w:cantSplit/>
          <w:trHeight w:val="411"/>
          <w:tblHeader/>
          <w:jc w:val="center"/>
        </w:trPr>
        <w:tc>
          <w:tcPr>
            <w:tcW w:w="3713" w:type="dxa"/>
            <w:tcBorders>
              <w:top w:val="single" w:sz="12" w:space="0" w:color="auto"/>
              <w:left w:val="nil"/>
              <w:bottom w:val="single" w:sz="4" w:space="0" w:color="auto"/>
              <w:right w:val="nil"/>
            </w:tcBorders>
            <w:shd w:val="clear" w:color="auto" w:fill="auto"/>
            <w:vAlign w:val="center"/>
          </w:tcPr>
          <w:p w14:paraId="563AEBEC" w14:textId="77777777" w:rsidR="00DE2CC6" w:rsidRPr="008D0300" w:rsidRDefault="00DE2CC6" w:rsidP="00373516">
            <w:pPr>
              <w:rPr>
                <w:rFonts w:ascii="Arial" w:hAnsi="Arial" w:cs="Arial"/>
                <w:b/>
                <w:sz w:val="22"/>
                <w:szCs w:val="22"/>
              </w:rPr>
            </w:pPr>
          </w:p>
        </w:tc>
        <w:tc>
          <w:tcPr>
            <w:tcW w:w="178" w:type="dxa"/>
            <w:tcBorders>
              <w:top w:val="single" w:sz="12" w:space="0" w:color="auto"/>
              <w:left w:val="nil"/>
              <w:bottom w:val="nil"/>
              <w:right w:val="nil"/>
            </w:tcBorders>
          </w:tcPr>
          <w:p w14:paraId="2D79959A" w14:textId="77777777" w:rsidR="00DE2CC6" w:rsidRPr="008D0300" w:rsidRDefault="00DE2CC6" w:rsidP="00373516">
            <w:pPr>
              <w:rPr>
                <w:rFonts w:ascii="Arial" w:hAnsi="Arial" w:cs="Arial"/>
                <w:b/>
                <w:sz w:val="22"/>
                <w:szCs w:val="22"/>
              </w:rPr>
            </w:pPr>
          </w:p>
        </w:tc>
        <w:tc>
          <w:tcPr>
            <w:tcW w:w="1593" w:type="dxa"/>
            <w:tcBorders>
              <w:top w:val="single" w:sz="12" w:space="0" w:color="auto"/>
              <w:left w:val="nil"/>
              <w:bottom w:val="nil"/>
              <w:right w:val="nil"/>
            </w:tcBorders>
            <w:vAlign w:val="center"/>
          </w:tcPr>
          <w:p w14:paraId="2C6CF8C2" w14:textId="77777777" w:rsidR="00DE2CC6" w:rsidRPr="008D0300" w:rsidRDefault="00DE2CC6" w:rsidP="00373516">
            <w:pPr>
              <w:jc w:val="center"/>
              <w:rPr>
                <w:rFonts w:ascii="Arial" w:hAnsi="Arial" w:cs="Arial"/>
                <w:b/>
                <w:sz w:val="22"/>
                <w:szCs w:val="22"/>
              </w:rPr>
            </w:pPr>
            <w:r>
              <w:rPr>
                <w:rFonts w:ascii="Arial" w:hAnsi="Arial" w:cs="Arial"/>
                <w:b/>
                <w:sz w:val="22"/>
                <w:szCs w:val="22"/>
              </w:rPr>
              <w:t>Expenditures</w:t>
            </w:r>
          </w:p>
        </w:tc>
        <w:tc>
          <w:tcPr>
            <w:tcW w:w="164" w:type="dxa"/>
            <w:tcBorders>
              <w:top w:val="single" w:sz="12" w:space="0" w:color="auto"/>
              <w:left w:val="nil"/>
              <w:bottom w:val="nil"/>
              <w:right w:val="nil"/>
            </w:tcBorders>
          </w:tcPr>
          <w:p w14:paraId="6B8FECB6" w14:textId="77777777" w:rsidR="00DE2CC6" w:rsidRPr="008D0300" w:rsidRDefault="00DE2CC6" w:rsidP="00373516">
            <w:pPr>
              <w:rPr>
                <w:rFonts w:ascii="Arial" w:hAnsi="Arial" w:cs="Arial"/>
                <w:b/>
                <w:sz w:val="22"/>
                <w:szCs w:val="22"/>
              </w:rPr>
            </w:pPr>
          </w:p>
        </w:tc>
        <w:tc>
          <w:tcPr>
            <w:tcW w:w="1674" w:type="dxa"/>
            <w:tcBorders>
              <w:top w:val="single" w:sz="12" w:space="0" w:color="auto"/>
              <w:left w:val="nil"/>
              <w:bottom w:val="single" w:sz="2" w:space="0" w:color="auto"/>
              <w:right w:val="nil"/>
            </w:tcBorders>
            <w:shd w:val="clear" w:color="auto" w:fill="auto"/>
            <w:vAlign w:val="center"/>
          </w:tcPr>
          <w:p w14:paraId="0B78F1D7" w14:textId="77777777" w:rsidR="00DE2CC6" w:rsidRPr="008D0300" w:rsidRDefault="00DE2CC6" w:rsidP="00373516">
            <w:pPr>
              <w:jc w:val="center"/>
              <w:rPr>
                <w:rFonts w:ascii="Arial" w:hAnsi="Arial" w:cs="Arial"/>
                <w:b/>
                <w:sz w:val="22"/>
                <w:szCs w:val="22"/>
              </w:rPr>
            </w:pPr>
            <w:r>
              <w:rPr>
                <w:rFonts w:ascii="Arial" w:hAnsi="Arial" w:cs="Arial"/>
                <w:b/>
                <w:sz w:val="22"/>
                <w:szCs w:val="22"/>
              </w:rPr>
              <w:t>Revenues</w:t>
            </w:r>
          </w:p>
        </w:tc>
        <w:tc>
          <w:tcPr>
            <w:tcW w:w="160" w:type="dxa"/>
            <w:tcBorders>
              <w:top w:val="single" w:sz="12" w:space="0" w:color="auto"/>
              <w:left w:val="nil"/>
              <w:bottom w:val="nil"/>
              <w:right w:val="nil"/>
            </w:tcBorders>
          </w:tcPr>
          <w:p w14:paraId="39E271FD" w14:textId="77777777" w:rsidR="00DE2CC6" w:rsidRPr="008D0300" w:rsidRDefault="00DE2CC6" w:rsidP="00373516">
            <w:pPr>
              <w:rPr>
                <w:rFonts w:ascii="Arial" w:hAnsi="Arial" w:cs="Arial"/>
                <w:b/>
                <w:sz w:val="22"/>
                <w:szCs w:val="22"/>
              </w:rPr>
            </w:pPr>
          </w:p>
        </w:tc>
        <w:tc>
          <w:tcPr>
            <w:tcW w:w="885" w:type="dxa"/>
            <w:tcBorders>
              <w:top w:val="single" w:sz="12" w:space="0" w:color="auto"/>
              <w:left w:val="nil"/>
              <w:bottom w:val="single" w:sz="2" w:space="0" w:color="auto"/>
              <w:right w:val="nil"/>
            </w:tcBorders>
            <w:vAlign w:val="center"/>
          </w:tcPr>
          <w:p w14:paraId="3F3BC92F" w14:textId="77777777" w:rsidR="00DE2CC6" w:rsidRPr="008D0300" w:rsidRDefault="00DE2CC6" w:rsidP="00373516">
            <w:pPr>
              <w:jc w:val="center"/>
              <w:rPr>
                <w:rFonts w:ascii="Arial" w:hAnsi="Arial" w:cs="Arial"/>
                <w:b/>
                <w:sz w:val="22"/>
                <w:szCs w:val="22"/>
              </w:rPr>
            </w:pPr>
            <w:r>
              <w:rPr>
                <w:rFonts w:ascii="Arial" w:hAnsi="Arial" w:cs="Arial"/>
                <w:b/>
                <w:sz w:val="22"/>
                <w:szCs w:val="22"/>
              </w:rPr>
              <w:t>FTEs</w:t>
            </w:r>
          </w:p>
        </w:tc>
        <w:tc>
          <w:tcPr>
            <w:tcW w:w="194" w:type="dxa"/>
            <w:tcBorders>
              <w:top w:val="single" w:sz="12" w:space="0" w:color="auto"/>
              <w:left w:val="nil"/>
              <w:bottom w:val="nil"/>
              <w:right w:val="nil"/>
            </w:tcBorders>
          </w:tcPr>
          <w:p w14:paraId="73A1D47B" w14:textId="77777777" w:rsidR="00DE2CC6" w:rsidRDefault="00DE2CC6" w:rsidP="00373516">
            <w:pPr>
              <w:jc w:val="center"/>
              <w:rPr>
                <w:rFonts w:ascii="Arial" w:hAnsi="Arial" w:cs="Arial"/>
                <w:b/>
                <w:sz w:val="22"/>
                <w:szCs w:val="22"/>
              </w:rPr>
            </w:pPr>
          </w:p>
        </w:tc>
        <w:tc>
          <w:tcPr>
            <w:tcW w:w="919" w:type="dxa"/>
            <w:gridSpan w:val="2"/>
            <w:tcBorders>
              <w:top w:val="single" w:sz="12" w:space="0" w:color="auto"/>
              <w:left w:val="nil"/>
              <w:bottom w:val="single" w:sz="2" w:space="0" w:color="auto"/>
              <w:right w:val="single" w:sz="2" w:space="0" w:color="FFFFFF" w:themeColor="background1"/>
            </w:tcBorders>
            <w:vAlign w:val="center"/>
          </w:tcPr>
          <w:p w14:paraId="22616CAB" w14:textId="77777777" w:rsidR="00DE2CC6" w:rsidRPr="008D0300" w:rsidRDefault="00DE2CC6" w:rsidP="00373516">
            <w:pPr>
              <w:jc w:val="center"/>
              <w:rPr>
                <w:rFonts w:ascii="Arial" w:hAnsi="Arial" w:cs="Arial"/>
                <w:b/>
                <w:sz w:val="22"/>
                <w:szCs w:val="22"/>
              </w:rPr>
            </w:pPr>
            <w:r>
              <w:rPr>
                <w:rFonts w:ascii="Arial" w:hAnsi="Arial" w:cs="Arial"/>
                <w:b/>
                <w:sz w:val="22"/>
                <w:szCs w:val="22"/>
              </w:rPr>
              <w:t>TLTs</w:t>
            </w:r>
          </w:p>
        </w:tc>
      </w:tr>
      <w:tr w:rsidR="00DE2CC6" w:rsidRPr="008D0300" w14:paraId="486D2813" w14:textId="77777777" w:rsidTr="00435D3D">
        <w:trPr>
          <w:cantSplit/>
          <w:jc w:val="center"/>
        </w:trPr>
        <w:tc>
          <w:tcPr>
            <w:tcW w:w="3713" w:type="dxa"/>
            <w:tcBorders>
              <w:left w:val="nil"/>
              <w:bottom w:val="nil"/>
              <w:right w:val="nil"/>
            </w:tcBorders>
            <w:tcMar>
              <w:top w:w="72" w:type="dxa"/>
              <w:left w:w="115" w:type="dxa"/>
              <w:bottom w:w="72" w:type="dxa"/>
              <w:right w:w="115" w:type="dxa"/>
            </w:tcMar>
          </w:tcPr>
          <w:p w14:paraId="2BB2032E" w14:textId="77777777" w:rsidR="00DE2CC6" w:rsidRPr="00D566D0" w:rsidRDefault="00DE2CC6" w:rsidP="00373516">
            <w:pPr>
              <w:rPr>
                <w:rFonts w:ascii="Arial" w:hAnsi="Arial" w:cs="Arial"/>
                <w:sz w:val="22"/>
                <w:szCs w:val="22"/>
              </w:rPr>
            </w:pPr>
            <w:r w:rsidRPr="00D566D0">
              <w:rPr>
                <w:rFonts w:ascii="Arial" w:hAnsi="Arial" w:cs="Arial"/>
                <w:sz w:val="22"/>
                <w:szCs w:val="22"/>
              </w:rPr>
              <w:t>20</w:t>
            </w:r>
            <w:r>
              <w:rPr>
                <w:rFonts w:ascii="Arial" w:hAnsi="Arial" w:cs="Arial"/>
                <w:sz w:val="22"/>
                <w:szCs w:val="22"/>
              </w:rPr>
              <w:t>21</w:t>
            </w:r>
            <w:r w:rsidRPr="00D566D0">
              <w:rPr>
                <w:rFonts w:ascii="Arial" w:hAnsi="Arial" w:cs="Arial"/>
                <w:sz w:val="22"/>
                <w:szCs w:val="22"/>
              </w:rPr>
              <w:t>-202</w:t>
            </w:r>
            <w:r>
              <w:rPr>
                <w:rFonts w:ascii="Arial" w:hAnsi="Arial" w:cs="Arial"/>
                <w:sz w:val="22"/>
                <w:szCs w:val="22"/>
              </w:rPr>
              <w:t>2</w:t>
            </w:r>
            <w:r w:rsidRPr="00D566D0">
              <w:rPr>
                <w:rFonts w:ascii="Arial" w:hAnsi="Arial" w:cs="Arial"/>
                <w:sz w:val="22"/>
                <w:szCs w:val="22"/>
              </w:rPr>
              <w:t xml:space="preserve"> Revised Budget</w:t>
            </w:r>
          </w:p>
        </w:tc>
        <w:tc>
          <w:tcPr>
            <w:tcW w:w="178" w:type="dxa"/>
            <w:tcBorders>
              <w:top w:val="nil"/>
              <w:left w:val="nil"/>
              <w:bottom w:val="nil"/>
              <w:right w:val="nil"/>
            </w:tcBorders>
          </w:tcPr>
          <w:p w14:paraId="6730D134" w14:textId="77777777" w:rsidR="00DE2CC6" w:rsidRPr="008D0300" w:rsidRDefault="00DE2CC6" w:rsidP="00373516">
            <w:pPr>
              <w:jc w:val="right"/>
              <w:rPr>
                <w:rFonts w:ascii="Arial" w:hAnsi="Arial" w:cs="Arial"/>
                <w:sz w:val="22"/>
                <w:szCs w:val="22"/>
              </w:rPr>
            </w:pPr>
          </w:p>
        </w:tc>
        <w:tc>
          <w:tcPr>
            <w:tcW w:w="1593" w:type="dxa"/>
            <w:tcBorders>
              <w:left w:val="nil"/>
              <w:bottom w:val="nil"/>
              <w:right w:val="nil"/>
            </w:tcBorders>
          </w:tcPr>
          <w:p w14:paraId="56D69B65" w14:textId="0AC7C854" w:rsidR="00DE2CC6" w:rsidRPr="008D0300" w:rsidRDefault="00DE2CC6" w:rsidP="00373516">
            <w:pPr>
              <w:jc w:val="right"/>
              <w:rPr>
                <w:rFonts w:ascii="Arial" w:hAnsi="Arial" w:cs="Arial"/>
                <w:sz w:val="22"/>
                <w:szCs w:val="22"/>
              </w:rPr>
            </w:pPr>
            <w:r>
              <w:rPr>
                <w:rFonts w:ascii="Arial" w:hAnsi="Arial" w:cs="Arial"/>
                <w:sz w:val="22"/>
                <w:szCs w:val="22"/>
              </w:rPr>
              <w:t>$909,326,842</w:t>
            </w:r>
          </w:p>
        </w:tc>
        <w:tc>
          <w:tcPr>
            <w:tcW w:w="164" w:type="dxa"/>
            <w:tcBorders>
              <w:top w:val="nil"/>
              <w:left w:val="nil"/>
              <w:bottom w:val="nil"/>
              <w:right w:val="nil"/>
            </w:tcBorders>
          </w:tcPr>
          <w:p w14:paraId="021453ED" w14:textId="77777777" w:rsidR="00DE2CC6" w:rsidRPr="008D0300" w:rsidRDefault="00DE2CC6" w:rsidP="00373516">
            <w:pPr>
              <w:jc w:val="right"/>
              <w:rPr>
                <w:rFonts w:ascii="Arial" w:hAnsi="Arial" w:cs="Arial"/>
                <w:sz w:val="22"/>
                <w:szCs w:val="22"/>
              </w:rPr>
            </w:pPr>
          </w:p>
        </w:tc>
        <w:tc>
          <w:tcPr>
            <w:tcW w:w="1674" w:type="dxa"/>
            <w:tcBorders>
              <w:top w:val="single" w:sz="2" w:space="0" w:color="auto"/>
              <w:left w:val="nil"/>
              <w:bottom w:val="nil"/>
              <w:right w:val="nil"/>
            </w:tcBorders>
            <w:tcMar>
              <w:top w:w="72" w:type="dxa"/>
              <w:bottom w:w="72" w:type="dxa"/>
            </w:tcMar>
          </w:tcPr>
          <w:p w14:paraId="60E46398" w14:textId="13FCC144" w:rsidR="00DE2CC6" w:rsidRPr="008D0300" w:rsidRDefault="00DE2CC6" w:rsidP="00373516">
            <w:pPr>
              <w:jc w:val="right"/>
              <w:rPr>
                <w:rFonts w:ascii="Arial" w:hAnsi="Arial" w:cs="Arial"/>
                <w:sz w:val="22"/>
                <w:szCs w:val="22"/>
              </w:rPr>
            </w:pPr>
            <w:r>
              <w:rPr>
                <w:rFonts w:ascii="Arial" w:hAnsi="Arial" w:cs="Arial"/>
                <w:sz w:val="22"/>
                <w:szCs w:val="22"/>
              </w:rPr>
              <w:t>$0</w:t>
            </w:r>
          </w:p>
        </w:tc>
        <w:tc>
          <w:tcPr>
            <w:tcW w:w="160" w:type="dxa"/>
            <w:tcBorders>
              <w:top w:val="nil"/>
              <w:left w:val="nil"/>
              <w:bottom w:val="nil"/>
              <w:right w:val="nil"/>
            </w:tcBorders>
          </w:tcPr>
          <w:p w14:paraId="34CD966A" w14:textId="77777777" w:rsidR="00DE2CC6" w:rsidRPr="008D0300" w:rsidRDefault="00DE2CC6" w:rsidP="00373516">
            <w:pPr>
              <w:jc w:val="right"/>
              <w:rPr>
                <w:rFonts w:ascii="Arial" w:hAnsi="Arial" w:cs="Arial"/>
                <w:sz w:val="22"/>
                <w:szCs w:val="22"/>
              </w:rPr>
            </w:pPr>
          </w:p>
        </w:tc>
        <w:tc>
          <w:tcPr>
            <w:tcW w:w="885" w:type="dxa"/>
            <w:tcBorders>
              <w:top w:val="single" w:sz="2" w:space="0" w:color="auto"/>
              <w:left w:val="nil"/>
              <w:bottom w:val="nil"/>
              <w:right w:val="nil"/>
            </w:tcBorders>
            <w:tcMar>
              <w:top w:w="72" w:type="dxa"/>
              <w:bottom w:w="72" w:type="dxa"/>
            </w:tcMar>
          </w:tcPr>
          <w:p w14:paraId="4E1022F8" w14:textId="25DC147A" w:rsidR="00DE2CC6" w:rsidRPr="008D0300" w:rsidRDefault="00DE2CC6" w:rsidP="00373516">
            <w:pPr>
              <w:jc w:val="right"/>
              <w:rPr>
                <w:rFonts w:ascii="Arial" w:hAnsi="Arial" w:cs="Arial"/>
                <w:sz w:val="22"/>
                <w:szCs w:val="22"/>
              </w:rPr>
            </w:pPr>
            <w:r>
              <w:rPr>
                <w:rFonts w:ascii="Arial" w:hAnsi="Arial" w:cs="Arial"/>
                <w:sz w:val="22"/>
                <w:szCs w:val="22"/>
              </w:rPr>
              <w:t>0.0</w:t>
            </w:r>
          </w:p>
        </w:tc>
        <w:tc>
          <w:tcPr>
            <w:tcW w:w="194" w:type="dxa"/>
            <w:tcBorders>
              <w:top w:val="nil"/>
              <w:left w:val="nil"/>
              <w:bottom w:val="nil"/>
              <w:right w:val="nil"/>
            </w:tcBorders>
          </w:tcPr>
          <w:p w14:paraId="5C1A625A" w14:textId="77777777" w:rsidR="00DE2CC6" w:rsidRDefault="00DE2CC6" w:rsidP="00373516">
            <w:pPr>
              <w:jc w:val="right"/>
              <w:rPr>
                <w:rFonts w:ascii="Arial" w:hAnsi="Arial" w:cs="Arial"/>
                <w:sz w:val="22"/>
                <w:szCs w:val="22"/>
              </w:rPr>
            </w:pPr>
          </w:p>
        </w:tc>
        <w:tc>
          <w:tcPr>
            <w:tcW w:w="919" w:type="dxa"/>
            <w:gridSpan w:val="2"/>
            <w:tcBorders>
              <w:top w:val="single" w:sz="2" w:space="0" w:color="auto"/>
              <w:left w:val="nil"/>
              <w:bottom w:val="nil"/>
              <w:right w:val="single" w:sz="2" w:space="0" w:color="FFFFFF" w:themeColor="background1"/>
            </w:tcBorders>
            <w:tcMar>
              <w:top w:w="72" w:type="dxa"/>
              <w:left w:w="115" w:type="dxa"/>
              <w:bottom w:w="72" w:type="dxa"/>
              <w:right w:w="115" w:type="dxa"/>
            </w:tcMar>
          </w:tcPr>
          <w:p w14:paraId="7B3C03DD" w14:textId="335A4B3B" w:rsidR="00DE2CC6" w:rsidRPr="008D0300" w:rsidRDefault="00DE2CC6" w:rsidP="00373516">
            <w:pPr>
              <w:jc w:val="right"/>
              <w:rPr>
                <w:rFonts w:ascii="Arial" w:hAnsi="Arial" w:cs="Arial"/>
                <w:sz w:val="22"/>
                <w:szCs w:val="22"/>
              </w:rPr>
            </w:pPr>
            <w:r>
              <w:rPr>
                <w:rFonts w:ascii="Arial" w:hAnsi="Arial" w:cs="Arial"/>
                <w:sz w:val="22"/>
                <w:szCs w:val="22"/>
              </w:rPr>
              <w:t>0.0</w:t>
            </w:r>
          </w:p>
        </w:tc>
      </w:tr>
      <w:tr w:rsidR="00DE2CC6" w:rsidRPr="008D0300" w14:paraId="6F84A601" w14:textId="77777777" w:rsidTr="00435D3D">
        <w:trPr>
          <w:cantSplit/>
          <w:trHeight w:val="216"/>
          <w:jc w:val="center"/>
        </w:trPr>
        <w:tc>
          <w:tcPr>
            <w:tcW w:w="3713" w:type="dxa"/>
            <w:tcBorders>
              <w:top w:val="nil"/>
              <w:left w:val="nil"/>
              <w:bottom w:val="nil"/>
              <w:right w:val="nil"/>
            </w:tcBorders>
            <w:tcMar>
              <w:top w:w="72" w:type="dxa"/>
              <w:left w:w="115" w:type="dxa"/>
              <w:bottom w:w="72" w:type="dxa"/>
              <w:right w:w="115" w:type="dxa"/>
            </w:tcMar>
          </w:tcPr>
          <w:p w14:paraId="1EA7453C" w14:textId="77777777" w:rsidR="00DE2CC6" w:rsidRDefault="00DE2CC6" w:rsidP="00373516">
            <w:pPr>
              <w:ind w:left="240"/>
              <w:rPr>
                <w:rFonts w:ascii="Arial" w:hAnsi="Arial" w:cs="Arial"/>
                <w:sz w:val="22"/>
                <w:szCs w:val="22"/>
              </w:rPr>
            </w:pPr>
            <w:r>
              <w:rPr>
                <w:rFonts w:ascii="Arial" w:hAnsi="Arial" w:cs="Arial"/>
                <w:sz w:val="22"/>
                <w:szCs w:val="22"/>
              </w:rPr>
              <w:t>2023-2024 Base Budget Adjust.</w:t>
            </w:r>
          </w:p>
        </w:tc>
        <w:tc>
          <w:tcPr>
            <w:tcW w:w="178" w:type="dxa"/>
            <w:tcBorders>
              <w:top w:val="nil"/>
              <w:left w:val="nil"/>
              <w:bottom w:val="nil"/>
              <w:right w:val="nil"/>
            </w:tcBorders>
          </w:tcPr>
          <w:p w14:paraId="1217CA98" w14:textId="77777777" w:rsidR="00DE2CC6" w:rsidRPr="008D0300" w:rsidRDefault="00DE2CC6" w:rsidP="00373516">
            <w:pPr>
              <w:jc w:val="right"/>
              <w:rPr>
                <w:rFonts w:ascii="Arial" w:hAnsi="Arial" w:cs="Arial"/>
                <w:sz w:val="22"/>
                <w:szCs w:val="22"/>
              </w:rPr>
            </w:pPr>
          </w:p>
        </w:tc>
        <w:tc>
          <w:tcPr>
            <w:tcW w:w="1593" w:type="dxa"/>
            <w:tcBorders>
              <w:top w:val="nil"/>
              <w:left w:val="nil"/>
              <w:bottom w:val="nil"/>
              <w:right w:val="nil"/>
            </w:tcBorders>
          </w:tcPr>
          <w:p w14:paraId="35C3DABF" w14:textId="066B4291" w:rsidR="00DE2CC6" w:rsidRPr="008D0300" w:rsidRDefault="0067694B" w:rsidP="00373516">
            <w:pPr>
              <w:jc w:val="right"/>
              <w:rPr>
                <w:rFonts w:ascii="Arial" w:hAnsi="Arial" w:cs="Arial"/>
                <w:sz w:val="22"/>
                <w:szCs w:val="22"/>
              </w:rPr>
            </w:pPr>
            <w:r>
              <w:rPr>
                <w:rFonts w:ascii="Arial" w:hAnsi="Arial" w:cs="Arial"/>
                <w:sz w:val="22"/>
                <w:szCs w:val="22"/>
              </w:rPr>
              <w:t>(</w:t>
            </w:r>
            <w:r w:rsidR="00DE2CC6">
              <w:rPr>
                <w:rFonts w:ascii="Arial" w:hAnsi="Arial" w:cs="Arial"/>
                <w:sz w:val="22"/>
                <w:szCs w:val="22"/>
              </w:rPr>
              <w:t>$369,894,844</w:t>
            </w:r>
            <w:r>
              <w:rPr>
                <w:rFonts w:ascii="Arial" w:hAnsi="Arial" w:cs="Arial"/>
                <w:sz w:val="22"/>
                <w:szCs w:val="22"/>
              </w:rPr>
              <w:t>)</w:t>
            </w:r>
          </w:p>
        </w:tc>
        <w:tc>
          <w:tcPr>
            <w:tcW w:w="164" w:type="dxa"/>
            <w:tcBorders>
              <w:top w:val="nil"/>
              <w:left w:val="nil"/>
              <w:bottom w:val="nil"/>
              <w:right w:val="nil"/>
            </w:tcBorders>
          </w:tcPr>
          <w:p w14:paraId="35ABADB3" w14:textId="77777777" w:rsidR="00DE2CC6" w:rsidRPr="008D0300" w:rsidRDefault="00DE2CC6" w:rsidP="00373516">
            <w:pPr>
              <w:jc w:val="right"/>
              <w:rPr>
                <w:rFonts w:ascii="Arial" w:hAnsi="Arial" w:cs="Arial"/>
                <w:sz w:val="22"/>
                <w:szCs w:val="22"/>
              </w:rPr>
            </w:pPr>
          </w:p>
        </w:tc>
        <w:tc>
          <w:tcPr>
            <w:tcW w:w="1674" w:type="dxa"/>
            <w:tcBorders>
              <w:top w:val="nil"/>
              <w:left w:val="nil"/>
              <w:bottom w:val="nil"/>
              <w:right w:val="nil"/>
            </w:tcBorders>
            <w:tcMar>
              <w:top w:w="72" w:type="dxa"/>
              <w:bottom w:w="72" w:type="dxa"/>
            </w:tcMar>
          </w:tcPr>
          <w:p w14:paraId="16337D7A" w14:textId="7B3DDCE5" w:rsidR="00DE2CC6" w:rsidRDefault="00DE2CC6" w:rsidP="00373516">
            <w:pPr>
              <w:jc w:val="right"/>
              <w:rPr>
                <w:rFonts w:ascii="Arial" w:hAnsi="Arial" w:cs="Arial"/>
                <w:sz w:val="22"/>
                <w:szCs w:val="22"/>
              </w:rPr>
            </w:pPr>
            <w:r>
              <w:rPr>
                <w:rFonts w:ascii="Arial" w:hAnsi="Arial" w:cs="Arial"/>
                <w:sz w:val="22"/>
                <w:szCs w:val="22"/>
              </w:rPr>
              <w:t>$0</w:t>
            </w:r>
          </w:p>
        </w:tc>
        <w:tc>
          <w:tcPr>
            <w:tcW w:w="160" w:type="dxa"/>
            <w:tcBorders>
              <w:top w:val="nil"/>
              <w:left w:val="nil"/>
              <w:bottom w:val="nil"/>
              <w:right w:val="nil"/>
            </w:tcBorders>
          </w:tcPr>
          <w:p w14:paraId="506175CE" w14:textId="77777777" w:rsidR="00DE2CC6" w:rsidRPr="008D0300" w:rsidRDefault="00DE2CC6" w:rsidP="00373516">
            <w:pPr>
              <w:jc w:val="right"/>
              <w:rPr>
                <w:rFonts w:ascii="Arial" w:hAnsi="Arial" w:cs="Arial"/>
                <w:sz w:val="22"/>
                <w:szCs w:val="22"/>
              </w:rPr>
            </w:pPr>
          </w:p>
        </w:tc>
        <w:tc>
          <w:tcPr>
            <w:tcW w:w="885" w:type="dxa"/>
            <w:tcBorders>
              <w:top w:val="nil"/>
              <w:left w:val="nil"/>
              <w:bottom w:val="nil"/>
              <w:right w:val="nil"/>
            </w:tcBorders>
            <w:tcMar>
              <w:top w:w="72" w:type="dxa"/>
              <w:bottom w:w="72" w:type="dxa"/>
            </w:tcMar>
          </w:tcPr>
          <w:p w14:paraId="45F13A6D" w14:textId="77777777" w:rsidR="00DE2CC6" w:rsidRDefault="00DE2CC6" w:rsidP="00373516">
            <w:pPr>
              <w:jc w:val="right"/>
              <w:rPr>
                <w:rFonts w:ascii="Arial" w:hAnsi="Arial" w:cs="Arial"/>
                <w:sz w:val="22"/>
                <w:szCs w:val="22"/>
              </w:rPr>
            </w:pPr>
            <w:r>
              <w:rPr>
                <w:rFonts w:ascii="Arial" w:hAnsi="Arial" w:cs="Arial"/>
                <w:sz w:val="22"/>
                <w:szCs w:val="22"/>
              </w:rPr>
              <w:t>0.0</w:t>
            </w:r>
          </w:p>
        </w:tc>
        <w:tc>
          <w:tcPr>
            <w:tcW w:w="194" w:type="dxa"/>
            <w:tcBorders>
              <w:top w:val="nil"/>
              <w:left w:val="nil"/>
              <w:bottom w:val="nil"/>
              <w:right w:val="nil"/>
            </w:tcBorders>
          </w:tcPr>
          <w:p w14:paraId="525B323A" w14:textId="77777777" w:rsidR="00DE2CC6" w:rsidRPr="008D0300" w:rsidRDefault="00DE2CC6" w:rsidP="00373516">
            <w:pPr>
              <w:jc w:val="right"/>
              <w:rPr>
                <w:rFonts w:ascii="Arial" w:hAnsi="Arial" w:cs="Arial"/>
                <w:sz w:val="22"/>
                <w:szCs w:val="22"/>
              </w:rPr>
            </w:pPr>
          </w:p>
        </w:tc>
        <w:tc>
          <w:tcPr>
            <w:tcW w:w="919" w:type="dxa"/>
            <w:gridSpan w:val="2"/>
            <w:tcBorders>
              <w:top w:val="nil"/>
              <w:left w:val="nil"/>
              <w:bottom w:val="nil"/>
              <w:right w:val="single" w:sz="2" w:space="0" w:color="FFFFFF" w:themeColor="background1"/>
            </w:tcBorders>
            <w:tcMar>
              <w:top w:w="72" w:type="dxa"/>
              <w:left w:w="115" w:type="dxa"/>
              <w:bottom w:w="72" w:type="dxa"/>
              <w:right w:w="115" w:type="dxa"/>
            </w:tcMar>
          </w:tcPr>
          <w:p w14:paraId="0FA2B19E" w14:textId="5E531DC2" w:rsidR="00DE2CC6" w:rsidRPr="008D0300" w:rsidRDefault="00DE2CC6" w:rsidP="00373516">
            <w:pPr>
              <w:jc w:val="right"/>
              <w:rPr>
                <w:rFonts w:ascii="Arial" w:hAnsi="Arial" w:cs="Arial"/>
                <w:sz w:val="22"/>
                <w:szCs w:val="22"/>
              </w:rPr>
            </w:pPr>
            <w:r>
              <w:rPr>
                <w:rFonts w:ascii="Arial" w:hAnsi="Arial" w:cs="Arial"/>
                <w:sz w:val="22"/>
                <w:szCs w:val="22"/>
              </w:rPr>
              <w:t>0.0</w:t>
            </w:r>
          </w:p>
        </w:tc>
      </w:tr>
      <w:tr w:rsidR="00DE2CC6" w:rsidRPr="008D0300" w14:paraId="79A94E99" w14:textId="77777777" w:rsidTr="00435D3D">
        <w:trPr>
          <w:cantSplit/>
          <w:trHeight w:val="369"/>
          <w:jc w:val="center"/>
        </w:trPr>
        <w:tc>
          <w:tcPr>
            <w:tcW w:w="3713" w:type="dxa"/>
            <w:tcBorders>
              <w:top w:val="nil"/>
              <w:left w:val="nil"/>
              <w:bottom w:val="nil"/>
              <w:right w:val="nil"/>
            </w:tcBorders>
            <w:tcMar>
              <w:top w:w="72" w:type="dxa"/>
              <w:left w:w="115" w:type="dxa"/>
              <w:bottom w:w="72" w:type="dxa"/>
              <w:right w:w="115" w:type="dxa"/>
            </w:tcMar>
          </w:tcPr>
          <w:p w14:paraId="4EE169A0" w14:textId="77777777" w:rsidR="00DE2CC6" w:rsidRDefault="00DE2CC6" w:rsidP="00373516">
            <w:pPr>
              <w:ind w:left="240"/>
              <w:rPr>
                <w:rFonts w:ascii="Arial" w:hAnsi="Arial" w:cs="Arial"/>
                <w:sz w:val="22"/>
                <w:szCs w:val="22"/>
              </w:rPr>
            </w:pPr>
            <w:r>
              <w:rPr>
                <w:rFonts w:ascii="Arial" w:hAnsi="Arial" w:cs="Arial"/>
                <w:sz w:val="22"/>
                <w:szCs w:val="22"/>
              </w:rPr>
              <w:t>2023-2024 Decision Packages</w:t>
            </w:r>
          </w:p>
        </w:tc>
        <w:tc>
          <w:tcPr>
            <w:tcW w:w="178" w:type="dxa"/>
            <w:tcBorders>
              <w:top w:val="nil"/>
              <w:left w:val="nil"/>
              <w:bottom w:val="nil"/>
              <w:right w:val="nil"/>
            </w:tcBorders>
          </w:tcPr>
          <w:p w14:paraId="389E034E" w14:textId="77777777" w:rsidR="00DE2CC6" w:rsidRPr="008D0300" w:rsidRDefault="00DE2CC6" w:rsidP="00373516">
            <w:pPr>
              <w:jc w:val="right"/>
              <w:rPr>
                <w:rFonts w:ascii="Arial" w:hAnsi="Arial" w:cs="Arial"/>
                <w:sz w:val="22"/>
                <w:szCs w:val="22"/>
              </w:rPr>
            </w:pPr>
          </w:p>
        </w:tc>
        <w:tc>
          <w:tcPr>
            <w:tcW w:w="1593" w:type="dxa"/>
            <w:tcBorders>
              <w:top w:val="nil"/>
              <w:left w:val="nil"/>
              <w:bottom w:val="nil"/>
              <w:right w:val="nil"/>
            </w:tcBorders>
          </w:tcPr>
          <w:p w14:paraId="20F19B8F" w14:textId="5EAD297D" w:rsidR="00DE2CC6" w:rsidRPr="008D0300" w:rsidRDefault="00DE2CC6" w:rsidP="00373516">
            <w:pPr>
              <w:jc w:val="right"/>
              <w:rPr>
                <w:rFonts w:ascii="Arial" w:hAnsi="Arial" w:cs="Arial"/>
                <w:sz w:val="22"/>
                <w:szCs w:val="22"/>
              </w:rPr>
            </w:pPr>
            <w:r>
              <w:rPr>
                <w:rFonts w:ascii="Arial" w:hAnsi="Arial" w:cs="Arial"/>
                <w:sz w:val="22"/>
                <w:szCs w:val="22"/>
              </w:rPr>
              <w:t>$409,169,520</w:t>
            </w:r>
          </w:p>
        </w:tc>
        <w:tc>
          <w:tcPr>
            <w:tcW w:w="164" w:type="dxa"/>
            <w:tcBorders>
              <w:top w:val="nil"/>
              <w:left w:val="nil"/>
              <w:bottom w:val="nil"/>
              <w:right w:val="nil"/>
            </w:tcBorders>
          </w:tcPr>
          <w:p w14:paraId="6FE976B7" w14:textId="77777777" w:rsidR="00DE2CC6" w:rsidRPr="008D0300" w:rsidRDefault="00DE2CC6" w:rsidP="00373516">
            <w:pPr>
              <w:jc w:val="right"/>
              <w:rPr>
                <w:rFonts w:ascii="Arial" w:hAnsi="Arial" w:cs="Arial"/>
                <w:sz w:val="22"/>
                <w:szCs w:val="22"/>
              </w:rPr>
            </w:pPr>
          </w:p>
        </w:tc>
        <w:tc>
          <w:tcPr>
            <w:tcW w:w="1674" w:type="dxa"/>
            <w:tcBorders>
              <w:top w:val="nil"/>
              <w:left w:val="nil"/>
              <w:bottom w:val="nil"/>
              <w:right w:val="nil"/>
            </w:tcBorders>
            <w:tcMar>
              <w:top w:w="72" w:type="dxa"/>
              <w:bottom w:w="72" w:type="dxa"/>
            </w:tcMar>
          </w:tcPr>
          <w:p w14:paraId="6A7C4C67" w14:textId="1027FB08" w:rsidR="00DE2CC6" w:rsidRDefault="00DE2CC6" w:rsidP="00373516">
            <w:pPr>
              <w:jc w:val="right"/>
              <w:rPr>
                <w:rFonts w:ascii="Arial" w:hAnsi="Arial" w:cs="Arial"/>
                <w:sz w:val="22"/>
                <w:szCs w:val="22"/>
              </w:rPr>
            </w:pPr>
            <w:r>
              <w:rPr>
                <w:rFonts w:ascii="Arial" w:hAnsi="Arial" w:cs="Arial"/>
                <w:sz w:val="22"/>
                <w:szCs w:val="22"/>
              </w:rPr>
              <w:t>$0</w:t>
            </w:r>
          </w:p>
        </w:tc>
        <w:tc>
          <w:tcPr>
            <w:tcW w:w="160" w:type="dxa"/>
            <w:tcBorders>
              <w:top w:val="nil"/>
              <w:left w:val="nil"/>
              <w:bottom w:val="nil"/>
              <w:right w:val="nil"/>
            </w:tcBorders>
          </w:tcPr>
          <w:p w14:paraId="3D8C0A6C" w14:textId="77777777" w:rsidR="00DE2CC6" w:rsidRPr="008D0300" w:rsidRDefault="00DE2CC6" w:rsidP="00373516">
            <w:pPr>
              <w:jc w:val="right"/>
              <w:rPr>
                <w:rFonts w:ascii="Arial" w:hAnsi="Arial" w:cs="Arial"/>
                <w:sz w:val="22"/>
                <w:szCs w:val="22"/>
              </w:rPr>
            </w:pPr>
          </w:p>
        </w:tc>
        <w:tc>
          <w:tcPr>
            <w:tcW w:w="885" w:type="dxa"/>
            <w:tcBorders>
              <w:top w:val="nil"/>
              <w:left w:val="nil"/>
              <w:bottom w:val="nil"/>
              <w:right w:val="nil"/>
            </w:tcBorders>
            <w:tcMar>
              <w:top w:w="72" w:type="dxa"/>
              <w:bottom w:w="72" w:type="dxa"/>
            </w:tcMar>
          </w:tcPr>
          <w:p w14:paraId="4078A681" w14:textId="310D11F6" w:rsidR="00DE2CC6" w:rsidRDefault="00DE2CC6" w:rsidP="00373516">
            <w:pPr>
              <w:jc w:val="right"/>
              <w:rPr>
                <w:rFonts w:ascii="Arial" w:hAnsi="Arial" w:cs="Arial"/>
                <w:sz w:val="22"/>
                <w:szCs w:val="22"/>
              </w:rPr>
            </w:pPr>
            <w:r>
              <w:rPr>
                <w:rFonts w:ascii="Arial" w:hAnsi="Arial" w:cs="Arial"/>
                <w:sz w:val="22"/>
                <w:szCs w:val="22"/>
              </w:rPr>
              <w:t xml:space="preserve">0.0 </w:t>
            </w:r>
          </w:p>
        </w:tc>
        <w:tc>
          <w:tcPr>
            <w:tcW w:w="194" w:type="dxa"/>
            <w:tcBorders>
              <w:top w:val="nil"/>
              <w:left w:val="nil"/>
              <w:bottom w:val="nil"/>
              <w:right w:val="nil"/>
            </w:tcBorders>
          </w:tcPr>
          <w:p w14:paraId="6F987176" w14:textId="77777777" w:rsidR="00DE2CC6" w:rsidRPr="008D0300" w:rsidRDefault="00DE2CC6" w:rsidP="00373516">
            <w:pPr>
              <w:jc w:val="right"/>
              <w:rPr>
                <w:rFonts w:ascii="Arial" w:hAnsi="Arial" w:cs="Arial"/>
                <w:sz w:val="22"/>
                <w:szCs w:val="22"/>
              </w:rPr>
            </w:pPr>
          </w:p>
        </w:tc>
        <w:tc>
          <w:tcPr>
            <w:tcW w:w="919" w:type="dxa"/>
            <w:gridSpan w:val="2"/>
            <w:tcBorders>
              <w:top w:val="nil"/>
              <w:left w:val="nil"/>
              <w:bottom w:val="nil"/>
              <w:right w:val="single" w:sz="2" w:space="0" w:color="FFFFFF" w:themeColor="background1"/>
            </w:tcBorders>
            <w:tcMar>
              <w:top w:w="72" w:type="dxa"/>
              <w:left w:w="115" w:type="dxa"/>
              <w:bottom w:w="72" w:type="dxa"/>
              <w:right w:w="115" w:type="dxa"/>
            </w:tcMar>
          </w:tcPr>
          <w:p w14:paraId="4645AA76" w14:textId="440033D4" w:rsidR="00DE2CC6" w:rsidRDefault="00DE2CC6" w:rsidP="00373516">
            <w:pPr>
              <w:jc w:val="right"/>
              <w:rPr>
                <w:rFonts w:ascii="Arial" w:hAnsi="Arial" w:cs="Arial"/>
                <w:sz w:val="22"/>
                <w:szCs w:val="22"/>
              </w:rPr>
            </w:pPr>
            <w:r>
              <w:rPr>
                <w:rFonts w:ascii="Arial" w:hAnsi="Arial" w:cs="Arial"/>
                <w:sz w:val="22"/>
                <w:szCs w:val="22"/>
              </w:rPr>
              <w:t xml:space="preserve">0.0 </w:t>
            </w:r>
          </w:p>
        </w:tc>
      </w:tr>
      <w:tr w:rsidR="00DE2CC6" w:rsidRPr="008D0300" w14:paraId="2C4D2249" w14:textId="77777777" w:rsidTr="00435D3D">
        <w:trPr>
          <w:cantSplit/>
          <w:jc w:val="center"/>
        </w:trPr>
        <w:tc>
          <w:tcPr>
            <w:tcW w:w="3713" w:type="dxa"/>
            <w:tcBorders>
              <w:top w:val="single" w:sz="4" w:space="0" w:color="auto"/>
              <w:left w:val="nil"/>
              <w:bottom w:val="nil"/>
              <w:right w:val="nil"/>
            </w:tcBorders>
            <w:tcMar>
              <w:top w:w="72" w:type="dxa"/>
              <w:left w:w="115" w:type="dxa"/>
              <w:bottom w:w="72" w:type="dxa"/>
              <w:right w:w="115" w:type="dxa"/>
            </w:tcMar>
          </w:tcPr>
          <w:p w14:paraId="6F394CB3" w14:textId="77777777" w:rsidR="00DE2CC6" w:rsidRPr="008D0300" w:rsidRDefault="00DE2CC6" w:rsidP="00373516">
            <w:pPr>
              <w:rPr>
                <w:rFonts w:ascii="Arial" w:hAnsi="Arial" w:cs="Arial"/>
                <w:b/>
                <w:sz w:val="22"/>
                <w:szCs w:val="22"/>
              </w:rPr>
            </w:pPr>
            <w:r>
              <w:rPr>
                <w:rFonts w:ascii="Arial" w:hAnsi="Arial" w:cs="Arial"/>
                <w:b/>
                <w:sz w:val="22"/>
                <w:szCs w:val="22"/>
              </w:rPr>
              <w:t>2023-2024 Proposed Budget</w:t>
            </w:r>
          </w:p>
        </w:tc>
        <w:tc>
          <w:tcPr>
            <w:tcW w:w="178" w:type="dxa"/>
            <w:tcBorders>
              <w:top w:val="nil"/>
              <w:left w:val="nil"/>
              <w:bottom w:val="nil"/>
              <w:right w:val="nil"/>
            </w:tcBorders>
          </w:tcPr>
          <w:p w14:paraId="04405875" w14:textId="77777777" w:rsidR="00DE2CC6" w:rsidRPr="008D0300" w:rsidRDefault="00DE2CC6" w:rsidP="00373516">
            <w:pPr>
              <w:jc w:val="right"/>
              <w:rPr>
                <w:rFonts w:ascii="Arial" w:hAnsi="Arial" w:cs="Arial"/>
                <w:sz w:val="22"/>
                <w:szCs w:val="22"/>
              </w:rPr>
            </w:pPr>
          </w:p>
        </w:tc>
        <w:tc>
          <w:tcPr>
            <w:tcW w:w="1593" w:type="dxa"/>
            <w:tcBorders>
              <w:top w:val="single" w:sz="4" w:space="0" w:color="auto"/>
              <w:left w:val="nil"/>
              <w:bottom w:val="nil"/>
              <w:right w:val="nil"/>
            </w:tcBorders>
          </w:tcPr>
          <w:p w14:paraId="338E237F" w14:textId="489A5D80" w:rsidR="00DE2CC6" w:rsidRPr="008D0300" w:rsidRDefault="00DE2CC6" w:rsidP="00373516">
            <w:pPr>
              <w:jc w:val="right"/>
              <w:rPr>
                <w:rFonts w:ascii="Arial" w:hAnsi="Arial" w:cs="Arial"/>
                <w:sz w:val="22"/>
                <w:szCs w:val="22"/>
              </w:rPr>
            </w:pPr>
            <w:r>
              <w:rPr>
                <w:rFonts w:ascii="Arial" w:hAnsi="Arial" w:cs="Arial"/>
                <w:b/>
                <w:sz w:val="22"/>
                <w:szCs w:val="22"/>
              </w:rPr>
              <w:t>$948,600,000</w:t>
            </w:r>
          </w:p>
        </w:tc>
        <w:tc>
          <w:tcPr>
            <w:tcW w:w="164" w:type="dxa"/>
            <w:tcBorders>
              <w:top w:val="nil"/>
              <w:left w:val="nil"/>
              <w:bottom w:val="nil"/>
              <w:right w:val="nil"/>
            </w:tcBorders>
          </w:tcPr>
          <w:p w14:paraId="6EF4924E" w14:textId="77777777" w:rsidR="00DE2CC6" w:rsidRPr="008D0300" w:rsidRDefault="00DE2CC6" w:rsidP="00373516">
            <w:pPr>
              <w:jc w:val="right"/>
              <w:rPr>
                <w:rFonts w:ascii="Arial" w:hAnsi="Arial" w:cs="Arial"/>
                <w:sz w:val="22"/>
                <w:szCs w:val="22"/>
              </w:rPr>
            </w:pPr>
          </w:p>
        </w:tc>
        <w:tc>
          <w:tcPr>
            <w:tcW w:w="1674" w:type="dxa"/>
            <w:tcBorders>
              <w:top w:val="single" w:sz="2" w:space="0" w:color="auto"/>
              <w:left w:val="nil"/>
              <w:bottom w:val="nil"/>
              <w:right w:val="nil"/>
            </w:tcBorders>
            <w:tcMar>
              <w:top w:w="72" w:type="dxa"/>
              <w:bottom w:w="72" w:type="dxa"/>
            </w:tcMar>
          </w:tcPr>
          <w:p w14:paraId="379DAC01" w14:textId="60C4CCAC" w:rsidR="00DE2CC6" w:rsidRPr="00B33952" w:rsidRDefault="00DE2CC6" w:rsidP="00373516">
            <w:pPr>
              <w:jc w:val="right"/>
              <w:rPr>
                <w:rFonts w:ascii="Arial" w:hAnsi="Arial" w:cs="Arial"/>
                <w:b/>
                <w:sz w:val="22"/>
                <w:szCs w:val="22"/>
              </w:rPr>
            </w:pPr>
            <w:r>
              <w:rPr>
                <w:rFonts w:ascii="Arial" w:hAnsi="Arial" w:cs="Arial"/>
                <w:b/>
                <w:sz w:val="22"/>
                <w:szCs w:val="22"/>
              </w:rPr>
              <w:t>$0</w:t>
            </w:r>
          </w:p>
        </w:tc>
        <w:tc>
          <w:tcPr>
            <w:tcW w:w="160" w:type="dxa"/>
            <w:tcBorders>
              <w:top w:val="nil"/>
              <w:left w:val="nil"/>
              <w:bottom w:val="nil"/>
              <w:right w:val="nil"/>
            </w:tcBorders>
          </w:tcPr>
          <w:p w14:paraId="36DC6AF8" w14:textId="77777777" w:rsidR="00DE2CC6" w:rsidRPr="00B33952" w:rsidRDefault="00DE2CC6" w:rsidP="00373516">
            <w:pPr>
              <w:jc w:val="right"/>
              <w:rPr>
                <w:rFonts w:ascii="Arial" w:hAnsi="Arial" w:cs="Arial"/>
                <w:b/>
                <w:sz w:val="22"/>
                <w:szCs w:val="22"/>
              </w:rPr>
            </w:pPr>
          </w:p>
        </w:tc>
        <w:tc>
          <w:tcPr>
            <w:tcW w:w="885" w:type="dxa"/>
            <w:tcBorders>
              <w:top w:val="single" w:sz="2" w:space="0" w:color="auto"/>
              <w:left w:val="nil"/>
              <w:bottom w:val="nil"/>
              <w:right w:val="single" w:sz="2" w:space="0" w:color="FFFFFF" w:themeColor="background1"/>
            </w:tcBorders>
            <w:tcMar>
              <w:top w:w="72" w:type="dxa"/>
              <w:bottom w:w="72" w:type="dxa"/>
            </w:tcMar>
          </w:tcPr>
          <w:p w14:paraId="4100864F" w14:textId="3D4E4F33" w:rsidR="00DE2CC6" w:rsidRPr="00B33952" w:rsidRDefault="00DE2CC6" w:rsidP="00373516">
            <w:pPr>
              <w:jc w:val="right"/>
              <w:rPr>
                <w:rFonts w:ascii="Arial" w:hAnsi="Arial" w:cs="Arial"/>
                <w:b/>
                <w:sz w:val="22"/>
                <w:szCs w:val="22"/>
              </w:rPr>
            </w:pPr>
            <w:r>
              <w:rPr>
                <w:rFonts w:ascii="Arial" w:hAnsi="Arial" w:cs="Arial"/>
                <w:b/>
                <w:sz w:val="22"/>
                <w:szCs w:val="22"/>
              </w:rPr>
              <w:t>0.0</w:t>
            </w:r>
          </w:p>
        </w:tc>
        <w:tc>
          <w:tcPr>
            <w:tcW w:w="194" w:type="dxa"/>
            <w:tcBorders>
              <w:top w:val="nil"/>
              <w:left w:val="single" w:sz="2" w:space="0" w:color="FFFFFF" w:themeColor="background1"/>
              <w:bottom w:val="nil"/>
              <w:right w:val="single" w:sz="2" w:space="0" w:color="FFFFFF" w:themeColor="background1"/>
            </w:tcBorders>
          </w:tcPr>
          <w:p w14:paraId="4C2D52D9" w14:textId="77777777" w:rsidR="00DE2CC6" w:rsidRPr="00B33952" w:rsidRDefault="00DE2CC6" w:rsidP="00373516">
            <w:pPr>
              <w:jc w:val="right"/>
              <w:rPr>
                <w:rFonts w:ascii="Arial" w:hAnsi="Arial" w:cs="Arial"/>
                <w:b/>
                <w:sz w:val="22"/>
                <w:szCs w:val="22"/>
              </w:rPr>
            </w:pPr>
          </w:p>
        </w:tc>
        <w:tc>
          <w:tcPr>
            <w:tcW w:w="919" w:type="dxa"/>
            <w:gridSpan w:val="2"/>
            <w:tcBorders>
              <w:top w:val="single" w:sz="2" w:space="0" w:color="auto"/>
              <w:left w:val="single" w:sz="2" w:space="0" w:color="FFFFFF" w:themeColor="background1"/>
              <w:bottom w:val="nil"/>
              <w:right w:val="single" w:sz="2" w:space="0" w:color="FFFFFF" w:themeColor="background1"/>
            </w:tcBorders>
            <w:tcMar>
              <w:top w:w="72" w:type="dxa"/>
              <w:left w:w="115" w:type="dxa"/>
              <w:bottom w:w="72" w:type="dxa"/>
              <w:right w:w="115" w:type="dxa"/>
            </w:tcMar>
          </w:tcPr>
          <w:p w14:paraId="01D039FC" w14:textId="2DE5D3EB" w:rsidR="00DE2CC6" w:rsidRPr="00B33952" w:rsidRDefault="00DE2CC6" w:rsidP="00373516">
            <w:pPr>
              <w:jc w:val="right"/>
              <w:rPr>
                <w:rFonts w:ascii="Arial" w:hAnsi="Arial" w:cs="Arial"/>
                <w:b/>
                <w:sz w:val="22"/>
                <w:szCs w:val="22"/>
              </w:rPr>
            </w:pPr>
            <w:r>
              <w:rPr>
                <w:rFonts w:ascii="Arial" w:hAnsi="Arial" w:cs="Arial"/>
                <w:b/>
                <w:sz w:val="22"/>
                <w:szCs w:val="22"/>
              </w:rPr>
              <w:t>0.0</w:t>
            </w:r>
          </w:p>
        </w:tc>
      </w:tr>
      <w:tr w:rsidR="00DE2CC6" w:rsidRPr="008D0300" w14:paraId="05F86C70" w14:textId="77777777" w:rsidTr="00435D3D">
        <w:trPr>
          <w:cantSplit/>
          <w:trHeight w:val="261"/>
          <w:jc w:val="center"/>
        </w:trPr>
        <w:tc>
          <w:tcPr>
            <w:tcW w:w="3713" w:type="dxa"/>
            <w:tcBorders>
              <w:top w:val="nil"/>
              <w:left w:val="nil"/>
              <w:bottom w:val="nil"/>
              <w:right w:val="nil"/>
            </w:tcBorders>
            <w:tcMar>
              <w:top w:w="72" w:type="dxa"/>
              <w:left w:w="115" w:type="dxa"/>
              <w:bottom w:w="72" w:type="dxa"/>
              <w:right w:w="115" w:type="dxa"/>
            </w:tcMar>
          </w:tcPr>
          <w:p w14:paraId="262904AB" w14:textId="77777777" w:rsidR="00DE2CC6" w:rsidRPr="00A27DEA" w:rsidRDefault="00DE2CC6" w:rsidP="00373516">
            <w:pPr>
              <w:rPr>
                <w:rFonts w:ascii="Arial" w:hAnsi="Arial" w:cs="Arial"/>
                <w:sz w:val="22"/>
                <w:szCs w:val="22"/>
              </w:rPr>
            </w:pPr>
            <w:r>
              <w:rPr>
                <w:rFonts w:ascii="Arial" w:hAnsi="Arial" w:cs="Arial"/>
                <w:sz w:val="22"/>
                <w:szCs w:val="22"/>
              </w:rPr>
              <w:t>% Change from prior biennium</w:t>
            </w:r>
          </w:p>
        </w:tc>
        <w:tc>
          <w:tcPr>
            <w:tcW w:w="178" w:type="dxa"/>
            <w:tcBorders>
              <w:top w:val="nil"/>
              <w:left w:val="nil"/>
              <w:bottom w:val="nil"/>
              <w:right w:val="nil"/>
            </w:tcBorders>
          </w:tcPr>
          <w:p w14:paraId="0EA4DCCE" w14:textId="77777777" w:rsidR="00DE2CC6" w:rsidRPr="008D0300" w:rsidRDefault="00DE2CC6" w:rsidP="00373516">
            <w:pPr>
              <w:jc w:val="right"/>
              <w:rPr>
                <w:rFonts w:ascii="Arial" w:hAnsi="Arial" w:cs="Arial"/>
                <w:sz w:val="22"/>
                <w:szCs w:val="22"/>
              </w:rPr>
            </w:pPr>
          </w:p>
        </w:tc>
        <w:tc>
          <w:tcPr>
            <w:tcW w:w="1593" w:type="dxa"/>
            <w:tcBorders>
              <w:top w:val="nil"/>
              <w:left w:val="nil"/>
              <w:bottom w:val="nil"/>
              <w:right w:val="nil"/>
            </w:tcBorders>
          </w:tcPr>
          <w:p w14:paraId="65B785A7" w14:textId="7B450FC3" w:rsidR="00DE2CC6" w:rsidRPr="0046704C" w:rsidRDefault="00435D3D" w:rsidP="00373516">
            <w:pPr>
              <w:jc w:val="right"/>
              <w:rPr>
                <w:rFonts w:ascii="Arial" w:hAnsi="Arial" w:cs="Arial"/>
                <w:sz w:val="22"/>
                <w:szCs w:val="22"/>
              </w:rPr>
            </w:pPr>
            <w:r>
              <w:rPr>
                <w:rFonts w:ascii="Arial" w:hAnsi="Arial" w:cs="Arial"/>
                <w:sz w:val="22"/>
                <w:szCs w:val="22"/>
              </w:rPr>
              <w:t>4.3</w:t>
            </w:r>
            <w:r w:rsidR="00DE2CC6" w:rsidRPr="0046704C">
              <w:rPr>
                <w:rFonts w:ascii="Arial" w:hAnsi="Arial" w:cs="Arial"/>
                <w:sz w:val="22"/>
                <w:szCs w:val="22"/>
              </w:rPr>
              <w:t>%</w:t>
            </w:r>
          </w:p>
        </w:tc>
        <w:tc>
          <w:tcPr>
            <w:tcW w:w="164" w:type="dxa"/>
            <w:tcBorders>
              <w:top w:val="nil"/>
              <w:left w:val="nil"/>
              <w:bottom w:val="nil"/>
              <w:right w:val="nil"/>
            </w:tcBorders>
          </w:tcPr>
          <w:p w14:paraId="4C8F480F" w14:textId="77777777" w:rsidR="00DE2CC6" w:rsidRPr="0046704C" w:rsidRDefault="00DE2CC6" w:rsidP="00373516">
            <w:pPr>
              <w:jc w:val="right"/>
              <w:rPr>
                <w:rFonts w:ascii="Arial" w:hAnsi="Arial" w:cs="Arial"/>
                <w:sz w:val="22"/>
                <w:szCs w:val="22"/>
              </w:rPr>
            </w:pPr>
          </w:p>
        </w:tc>
        <w:tc>
          <w:tcPr>
            <w:tcW w:w="1674" w:type="dxa"/>
            <w:tcBorders>
              <w:top w:val="nil"/>
              <w:left w:val="nil"/>
              <w:bottom w:val="nil"/>
              <w:right w:val="nil"/>
            </w:tcBorders>
            <w:tcMar>
              <w:top w:w="72" w:type="dxa"/>
              <w:bottom w:w="72" w:type="dxa"/>
            </w:tcMar>
          </w:tcPr>
          <w:p w14:paraId="2FCC52F9" w14:textId="0E23DDD3" w:rsidR="00DE2CC6" w:rsidRPr="0046704C" w:rsidRDefault="00DE2CC6" w:rsidP="00373516">
            <w:pPr>
              <w:jc w:val="right"/>
              <w:rPr>
                <w:rFonts w:ascii="Arial" w:hAnsi="Arial" w:cs="Arial"/>
                <w:sz w:val="22"/>
                <w:szCs w:val="22"/>
              </w:rPr>
            </w:pPr>
          </w:p>
        </w:tc>
        <w:tc>
          <w:tcPr>
            <w:tcW w:w="160" w:type="dxa"/>
            <w:tcBorders>
              <w:top w:val="nil"/>
              <w:left w:val="nil"/>
              <w:bottom w:val="nil"/>
              <w:right w:val="nil"/>
            </w:tcBorders>
          </w:tcPr>
          <w:p w14:paraId="4C97E709" w14:textId="77777777" w:rsidR="00DE2CC6" w:rsidRPr="0046704C" w:rsidRDefault="00DE2CC6" w:rsidP="00373516">
            <w:pPr>
              <w:jc w:val="right"/>
              <w:rPr>
                <w:rFonts w:ascii="Arial" w:hAnsi="Arial" w:cs="Arial"/>
                <w:sz w:val="22"/>
                <w:szCs w:val="22"/>
              </w:rPr>
            </w:pPr>
          </w:p>
        </w:tc>
        <w:tc>
          <w:tcPr>
            <w:tcW w:w="885" w:type="dxa"/>
            <w:tcBorders>
              <w:top w:val="nil"/>
              <w:left w:val="nil"/>
              <w:bottom w:val="nil"/>
              <w:right w:val="single" w:sz="2" w:space="0" w:color="FFFFFF" w:themeColor="background1"/>
            </w:tcBorders>
            <w:tcMar>
              <w:top w:w="72" w:type="dxa"/>
              <w:bottom w:w="72" w:type="dxa"/>
            </w:tcMar>
          </w:tcPr>
          <w:p w14:paraId="7A87102B" w14:textId="77777777" w:rsidR="00DE2CC6" w:rsidRPr="0046704C" w:rsidRDefault="00DE2CC6" w:rsidP="00373516">
            <w:pPr>
              <w:jc w:val="right"/>
              <w:rPr>
                <w:rFonts w:ascii="Arial" w:hAnsi="Arial" w:cs="Arial"/>
                <w:sz w:val="22"/>
                <w:szCs w:val="22"/>
              </w:rPr>
            </w:pPr>
          </w:p>
        </w:tc>
        <w:tc>
          <w:tcPr>
            <w:tcW w:w="194" w:type="dxa"/>
            <w:tcBorders>
              <w:top w:val="nil"/>
              <w:left w:val="single" w:sz="2" w:space="0" w:color="FFFFFF" w:themeColor="background1"/>
              <w:bottom w:val="nil"/>
              <w:right w:val="single" w:sz="2" w:space="0" w:color="FFFFFF" w:themeColor="background1"/>
            </w:tcBorders>
          </w:tcPr>
          <w:p w14:paraId="2A8441E6" w14:textId="77777777" w:rsidR="00DE2CC6" w:rsidRPr="0046704C" w:rsidRDefault="00DE2CC6" w:rsidP="00373516">
            <w:pPr>
              <w:jc w:val="right"/>
              <w:rPr>
                <w:rFonts w:ascii="Arial" w:hAnsi="Arial" w:cs="Arial"/>
                <w:sz w:val="22"/>
                <w:szCs w:val="22"/>
              </w:rPr>
            </w:pPr>
          </w:p>
        </w:tc>
        <w:tc>
          <w:tcPr>
            <w:tcW w:w="919" w:type="dxa"/>
            <w:gridSpan w:val="2"/>
            <w:tcBorders>
              <w:top w:val="nil"/>
              <w:left w:val="single" w:sz="2" w:space="0" w:color="FFFFFF" w:themeColor="background1"/>
              <w:bottom w:val="nil"/>
              <w:right w:val="single" w:sz="2" w:space="0" w:color="FFFFFF" w:themeColor="background1"/>
            </w:tcBorders>
            <w:tcMar>
              <w:top w:w="72" w:type="dxa"/>
              <w:left w:w="115" w:type="dxa"/>
              <w:bottom w:w="72" w:type="dxa"/>
              <w:right w:w="115" w:type="dxa"/>
            </w:tcMar>
          </w:tcPr>
          <w:p w14:paraId="2EE0ED32" w14:textId="77777777" w:rsidR="00DE2CC6" w:rsidRPr="0046704C" w:rsidRDefault="00DE2CC6" w:rsidP="00373516">
            <w:pPr>
              <w:jc w:val="right"/>
              <w:rPr>
                <w:rFonts w:ascii="Arial" w:hAnsi="Arial" w:cs="Arial"/>
                <w:sz w:val="22"/>
                <w:szCs w:val="22"/>
              </w:rPr>
            </w:pPr>
          </w:p>
        </w:tc>
      </w:tr>
      <w:tr w:rsidR="00DE2CC6" w:rsidRPr="008D0300" w14:paraId="5EA46502" w14:textId="77777777" w:rsidTr="00435D3D">
        <w:trPr>
          <w:cantSplit/>
          <w:trHeight w:val="396"/>
          <w:jc w:val="center"/>
        </w:trPr>
        <w:tc>
          <w:tcPr>
            <w:tcW w:w="3713" w:type="dxa"/>
            <w:tcBorders>
              <w:top w:val="nil"/>
              <w:left w:val="nil"/>
              <w:bottom w:val="dotted" w:sz="4" w:space="0" w:color="auto"/>
              <w:right w:val="nil"/>
            </w:tcBorders>
            <w:tcMar>
              <w:top w:w="72" w:type="dxa"/>
              <w:left w:w="115" w:type="dxa"/>
              <w:bottom w:w="72" w:type="dxa"/>
              <w:right w:w="115" w:type="dxa"/>
            </w:tcMar>
          </w:tcPr>
          <w:p w14:paraId="2664ACED" w14:textId="77777777" w:rsidR="00DE2CC6" w:rsidRPr="00A27DEA" w:rsidRDefault="00DE2CC6" w:rsidP="00373516">
            <w:pPr>
              <w:rPr>
                <w:rFonts w:ascii="Arial" w:hAnsi="Arial" w:cs="Arial"/>
                <w:sz w:val="22"/>
                <w:szCs w:val="22"/>
              </w:rPr>
            </w:pPr>
            <w:r>
              <w:rPr>
                <w:rFonts w:ascii="Arial" w:hAnsi="Arial" w:cs="Arial"/>
                <w:sz w:val="22"/>
                <w:szCs w:val="22"/>
              </w:rPr>
              <w:t>Dec. Pkg. as % of prior biennium</w:t>
            </w:r>
          </w:p>
        </w:tc>
        <w:tc>
          <w:tcPr>
            <w:tcW w:w="178" w:type="dxa"/>
            <w:tcBorders>
              <w:top w:val="nil"/>
              <w:left w:val="nil"/>
              <w:bottom w:val="dotted" w:sz="4" w:space="0" w:color="auto"/>
              <w:right w:val="nil"/>
            </w:tcBorders>
          </w:tcPr>
          <w:p w14:paraId="7F4AC853" w14:textId="77777777" w:rsidR="00DE2CC6" w:rsidRPr="008D0300" w:rsidRDefault="00DE2CC6" w:rsidP="00373516">
            <w:pPr>
              <w:jc w:val="right"/>
              <w:rPr>
                <w:rFonts w:ascii="Arial" w:hAnsi="Arial" w:cs="Arial"/>
                <w:sz w:val="22"/>
                <w:szCs w:val="22"/>
              </w:rPr>
            </w:pPr>
          </w:p>
        </w:tc>
        <w:tc>
          <w:tcPr>
            <w:tcW w:w="1593" w:type="dxa"/>
            <w:tcBorders>
              <w:top w:val="nil"/>
              <w:left w:val="nil"/>
              <w:bottom w:val="dotted" w:sz="4" w:space="0" w:color="auto"/>
              <w:right w:val="nil"/>
            </w:tcBorders>
          </w:tcPr>
          <w:p w14:paraId="72F41C40" w14:textId="5B57DD8C" w:rsidR="00DE2CC6" w:rsidRPr="0046704C" w:rsidRDefault="00435D3D" w:rsidP="00373516">
            <w:pPr>
              <w:jc w:val="right"/>
              <w:rPr>
                <w:rFonts w:ascii="Arial" w:hAnsi="Arial" w:cs="Arial"/>
                <w:sz w:val="22"/>
                <w:szCs w:val="22"/>
              </w:rPr>
            </w:pPr>
            <w:r>
              <w:rPr>
                <w:rFonts w:ascii="Arial" w:hAnsi="Arial" w:cs="Arial"/>
                <w:sz w:val="22"/>
                <w:szCs w:val="22"/>
              </w:rPr>
              <w:t>44.9</w:t>
            </w:r>
            <w:r w:rsidR="00DE2CC6">
              <w:rPr>
                <w:rFonts w:ascii="Arial" w:hAnsi="Arial" w:cs="Arial"/>
                <w:sz w:val="22"/>
                <w:szCs w:val="22"/>
              </w:rPr>
              <w:t>%</w:t>
            </w:r>
          </w:p>
        </w:tc>
        <w:tc>
          <w:tcPr>
            <w:tcW w:w="164" w:type="dxa"/>
            <w:tcBorders>
              <w:top w:val="nil"/>
              <w:left w:val="nil"/>
              <w:bottom w:val="dotted" w:sz="4" w:space="0" w:color="auto"/>
              <w:right w:val="nil"/>
            </w:tcBorders>
          </w:tcPr>
          <w:p w14:paraId="19ECA615" w14:textId="77777777" w:rsidR="00DE2CC6" w:rsidRPr="0046704C" w:rsidRDefault="00DE2CC6" w:rsidP="00373516">
            <w:pPr>
              <w:jc w:val="right"/>
              <w:rPr>
                <w:rFonts w:ascii="Arial" w:hAnsi="Arial" w:cs="Arial"/>
                <w:sz w:val="22"/>
                <w:szCs w:val="22"/>
              </w:rPr>
            </w:pPr>
          </w:p>
        </w:tc>
        <w:tc>
          <w:tcPr>
            <w:tcW w:w="1674" w:type="dxa"/>
            <w:tcBorders>
              <w:top w:val="nil"/>
              <w:left w:val="nil"/>
              <w:bottom w:val="dotted" w:sz="4" w:space="0" w:color="auto"/>
              <w:right w:val="nil"/>
            </w:tcBorders>
            <w:tcMar>
              <w:top w:w="72" w:type="dxa"/>
              <w:bottom w:w="72" w:type="dxa"/>
            </w:tcMar>
          </w:tcPr>
          <w:p w14:paraId="26AC3D96" w14:textId="77777777" w:rsidR="00DE2CC6" w:rsidRPr="0046704C" w:rsidRDefault="00DE2CC6" w:rsidP="00373516">
            <w:pPr>
              <w:jc w:val="right"/>
              <w:rPr>
                <w:rFonts w:ascii="Arial" w:hAnsi="Arial" w:cs="Arial"/>
                <w:sz w:val="22"/>
                <w:szCs w:val="22"/>
              </w:rPr>
            </w:pPr>
          </w:p>
        </w:tc>
        <w:tc>
          <w:tcPr>
            <w:tcW w:w="160" w:type="dxa"/>
            <w:tcBorders>
              <w:top w:val="nil"/>
              <w:left w:val="nil"/>
              <w:bottom w:val="dotted" w:sz="4" w:space="0" w:color="auto"/>
              <w:right w:val="nil"/>
            </w:tcBorders>
          </w:tcPr>
          <w:p w14:paraId="38C361AF" w14:textId="77777777" w:rsidR="00DE2CC6" w:rsidRPr="0046704C" w:rsidRDefault="00DE2CC6" w:rsidP="00373516">
            <w:pPr>
              <w:jc w:val="right"/>
              <w:rPr>
                <w:rFonts w:ascii="Arial" w:hAnsi="Arial" w:cs="Arial"/>
                <w:sz w:val="22"/>
                <w:szCs w:val="22"/>
              </w:rPr>
            </w:pPr>
          </w:p>
        </w:tc>
        <w:tc>
          <w:tcPr>
            <w:tcW w:w="885" w:type="dxa"/>
            <w:tcBorders>
              <w:top w:val="nil"/>
              <w:left w:val="nil"/>
              <w:bottom w:val="dotted" w:sz="4" w:space="0" w:color="auto"/>
              <w:right w:val="single" w:sz="2" w:space="0" w:color="FFFFFF" w:themeColor="background1"/>
            </w:tcBorders>
            <w:tcMar>
              <w:top w:w="72" w:type="dxa"/>
              <w:bottom w:w="72" w:type="dxa"/>
            </w:tcMar>
          </w:tcPr>
          <w:p w14:paraId="3A874746" w14:textId="77777777" w:rsidR="00DE2CC6" w:rsidRPr="0046704C" w:rsidRDefault="00DE2CC6" w:rsidP="00373516">
            <w:pPr>
              <w:jc w:val="right"/>
              <w:rPr>
                <w:rFonts w:ascii="Arial" w:hAnsi="Arial" w:cs="Arial"/>
                <w:sz w:val="22"/>
                <w:szCs w:val="22"/>
              </w:rPr>
            </w:pPr>
          </w:p>
        </w:tc>
        <w:tc>
          <w:tcPr>
            <w:tcW w:w="194" w:type="dxa"/>
            <w:tcBorders>
              <w:top w:val="nil"/>
              <w:left w:val="single" w:sz="2" w:space="0" w:color="FFFFFF" w:themeColor="background1"/>
              <w:bottom w:val="dotted" w:sz="4" w:space="0" w:color="auto"/>
              <w:right w:val="single" w:sz="2" w:space="0" w:color="FFFFFF" w:themeColor="background1"/>
            </w:tcBorders>
          </w:tcPr>
          <w:p w14:paraId="72C613F4" w14:textId="77777777" w:rsidR="00DE2CC6" w:rsidRPr="0046704C" w:rsidRDefault="00DE2CC6" w:rsidP="00373516">
            <w:pPr>
              <w:jc w:val="right"/>
              <w:rPr>
                <w:rFonts w:ascii="Arial" w:hAnsi="Arial" w:cs="Arial"/>
                <w:sz w:val="22"/>
                <w:szCs w:val="22"/>
              </w:rPr>
            </w:pPr>
          </w:p>
        </w:tc>
        <w:tc>
          <w:tcPr>
            <w:tcW w:w="919" w:type="dxa"/>
            <w:gridSpan w:val="2"/>
            <w:tcBorders>
              <w:top w:val="nil"/>
              <w:left w:val="single" w:sz="2" w:space="0" w:color="FFFFFF" w:themeColor="background1"/>
              <w:bottom w:val="dotted" w:sz="4" w:space="0" w:color="auto"/>
              <w:right w:val="single" w:sz="2" w:space="0" w:color="FFFFFF" w:themeColor="background1"/>
            </w:tcBorders>
            <w:tcMar>
              <w:top w:w="72" w:type="dxa"/>
              <w:left w:w="115" w:type="dxa"/>
              <w:bottom w:w="72" w:type="dxa"/>
              <w:right w:w="115" w:type="dxa"/>
            </w:tcMar>
          </w:tcPr>
          <w:p w14:paraId="33F87B71" w14:textId="77777777" w:rsidR="00DE2CC6" w:rsidRPr="0046704C" w:rsidRDefault="00DE2CC6" w:rsidP="00373516">
            <w:pPr>
              <w:jc w:val="right"/>
              <w:rPr>
                <w:rFonts w:ascii="Arial" w:hAnsi="Arial" w:cs="Arial"/>
                <w:sz w:val="22"/>
                <w:szCs w:val="22"/>
              </w:rPr>
            </w:pPr>
          </w:p>
        </w:tc>
      </w:tr>
      <w:tr w:rsidR="00DE2CC6" w:rsidRPr="008D0300" w14:paraId="6B45C671" w14:textId="77777777" w:rsidTr="00373516">
        <w:trPr>
          <w:gridAfter w:val="1"/>
          <w:wAfter w:w="6" w:type="dxa"/>
          <w:cantSplit/>
          <w:trHeight w:val="287"/>
          <w:jc w:val="center"/>
        </w:trPr>
        <w:tc>
          <w:tcPr>
            <w:tcW w:w="9474" w:type="dxa"/>
            <w:gridSpan w:val="9"/>
            <w:tcBorders>
              <w:top w:val="dotted" w:sz="4" w:space="0" w:color="auto"/>
              <w:left w:val="nil"/>
              <w:bottom w:val="nil"/>
              <w:right w:val="single" w:sz="2" w:space="0" w:color="FFFFFF" w:themeColor="background1"/>
            </w:tcBorders>
            <w:tcMar>
              <w:top w:w="72" w:type="dxa"/>
              <w:left w:w="115" w:type="dxa"/>
              <w:bottom w:w="72" w:type="dxa"/>
              <w:right w:w="115" w:type="dxa"/>
            </w:tcMar>
            <w:vAlign w:val="center"/>
          </w:tcPr>
          <w:p w14:paraId="63C3D817" w14:textId="41F7087B" w:rsidR="00DE2CC6" w:rsidRPr="006F4699" w:rsidRDefault="00DE2CC6" w:rsidP="00373516">
            <w:pPr>
              <w:spacing w:line="264" w:lineRule="auto"/>
              <w:ind w:left="216"/>
              <w:rPr>
                <w:rFonts w:ascii="Arial" w:hAnsi="Arial" w:cs="Arial"/>
                <w:b/>
                <w:sz w:val="22"/>
                <w:szCs w:val="22"/>
              </w:rPr>
            </w:pPr>
            <w:r w:rsidRPr="006F4699">
              <w:rPr>
                <w:rFonts w:ascii="Arial" w:hAnsi="Arial" w:cs="Arial"/>
                <w:b/>
                <w:sz w:val="22"/>
                <w:szCs w:val="22"/>
              </w:rPr>
              <w:t>Major Revenue Sources</w:t>
            </w:r>
            <w:r>
              <w:rPr>
                <w:rFonts w:ascii="Arial" w:hAnsi="Arial" w:cs="Arial"/>
                <w:b/>
                <w:sz w:val="22"/>
                <w:szCs w:val="22"/>
              </w:rPr>
              <w:t xml:space="preserve">: </w:t>
            </w:r>
            <w:r w:rsidR="00EB35CB">
              <w:rPr>
                <w:rFonts w:ascii="Arial" w:hAnsi="Arial" w:cs="Arial"/>
                <w:sz w:val="22"/>
                <w:szCs w:val="22"/>
              </w:rPr>
              <w:t>Transfer from Wastewater Operating budget</w:t>
            </w:r>
            <w:r>
              <w:rPr>
                <w:rFonts w:ascii="Arial" w:hAnsi="Arial" w:cs="Arial"/>
                <w:sz w:val="22"/>
                <w:szCs w:val="22"/>
              </w:rPr>
              <w:t>.</w:t>
            </w:r>
            <w:r>
              <w:rPr>
                <w:rFonts w:ascii="Arial" w:hAnsi="Arial" w:cs="Arial"/>
                <w:noProof/>
                <w:sz w:val="22"/>
                <w:szCs w:val="22"/>
                <w:lang w:eastAsia="ko-KR"/>
              </w:rPr>
              <w:t xml:space="preserve"> </w:t>
            </w:r>
          </w:p>
        </w:tc>
      </w:tr>
      <w:tr w:rsidR="00DE2CC6" w:rsidRPr="008D0300" w14:paraId="5902EADA" w14:textId="77777777" w:rsidTr="00373516">
        <w:trPr>
          <w:gridAfter w:val="1"/>
          <w:wAfter w:w="6" w:type="dxa"/>
          <w:cantSplit/>
          <w:trHeight w:val="396"/>
          <w:jc w:val="center"/>
        </w:trPr>
        <w:tc>
          <w:tcPr>
            <w:tcW w:w="9474" w:type="dxa"/>
            <w:gridSpan w:val="9"/>
            <w:tcBorders>
              <w:top w:val="nil"/>
              <w:left w:val="nil"/>
              <w:bottom w:val="single" w:sz="12" w:space="0" w:color="auto"/>
              <w:right w:val="single" w:sz="2" w:space="0" w:color="FFFFFF" w:themeColor="background1"/>
            </w:tcBorders>
            <w:tcMar>
              <w:top w:w="72" w:type="dxa"/>
              <w:left w:w="115" w:type="dxa"/>
              <w:bottom w:w="72" w:type="dxa"/>
              <w:right w:w="115" w:type="dxa"/>
            </w:tcMar>
            <w:vAlign w:val="center"/>
          </w:tcPr>
          <w:p w14:paraId="6EDABFF4" w14:textId="514A5E90" w:rsidR="00DE2CC6" w:rsidRPr="008C07EB" w:rsidRDefault="00DE2CC6" w:rsidP="00373516">
            <w:pPr>
              <w:spacing w:line="264" w:lineRule="auto"/>
              <w:ind w:left="216"/>
              <w:rPr>
                <w:rFonts w:ascii="Arial" w:hAnsi="Arial" w:cs="Arial"/>
                <w:sz w:val="22"/>
                <w:szCs w:val="22"/>
              </w:rPr>
            </w:pPr>
            <w:r>
              <w:rPr>
                <w:rFonts w:ascii="Arial" w:hAnsi="Arial" w:cs="Arial"/>
                <w:b/>
                <w:sz w:val="22"/>
                <w:szCs w:val="22"/>
              </w:rPr>
              <w:t>Base Budget Assumptions:</w:t>
            </w:r>
            <w:r>
              <w:rPr>
                <w:rFonts w:ascii="Arial" w:hAnsi="Arial" w:cs="Arial"/>
                <w:sz w:val="22"/>
                <w:szCs w:val="22"/>
              </w:rPr>
              <w:t xml:space="preserve"> </w:t>
            </w:r>
            <w:r w:rsidR="00EB35CB">
              <w:rPr>
                <w:rFonts w:ascii="Arial" w:hAnsi="Arial" w:cs="Arial"/>
                <w:sz w:val="22"/>
                <w:szCs w:val="22"/>
              </w:rPr>
              <w:t>No personnel costs are included in this budget.</w:t>
            </w:r>
          </w:p>
        </w:tc>
      </w:tr>
    </w:tbl>
    <w:p w14:paraId="5FF886BC" w14:textId="6EE921F2" w:rsidR="00DE2CC6" w:rsidRDefault="00DE2CC6" w:rsidP="00DE2CC6">
      <w:pPr>
        <w:spacing w:line="264" w:lineRule="auto"/>
        <w:contextualSpacing/>
        <w:rPr>
          <w:rFonts w:ascii="Arial" w:hAnsi="Arial" w:cs="Arial"/>
          <w:b/>
          <w:smallCaps/>
          <w:szCs w:val="24"/>
          <w:u w:val="single"/>
        </w:rPr>
      </w:pPr>
    </w:p>
    <w:p w14:paraId="5C55B675" w14:textId="77777777" w:rsidR="00DE2CC6" w:rsidRPr="000C615A" w:rsidRDefault="00DE2CC6" w:rsidP="00DE2CC6">
      <w:pPr>
        <w:spacing w:line="264" w:lineRule="auto"/>
        <w:contextualSpacing/>
        <w:jc w:val="center"/>
        <w:rPr>
          <w:rFonts w:ascii="Arial" w:hAnsi="Arial" w:cs="Arial"/>
          <w:b/>
          <w:sz w:val="24"/>
          <w:szCs w:val="24"/>
        </w:rPr>
      </w:pPr>
      <w:r w:rsidRPr="000C615A">
        <w:rPr>
          <w:rFonts w:ascii="Arial" w:hAnsi="Arial" w:cs="Arial"/>
          <w:b/>
          <w:smallCaps/>
          <w:sz w:val="24"/>
          <w:szCs w:val="24"/>
          <w:u w:val="single"/>
        </w:rPr>
        <w:t>Description</w:t>
      </w:r>
    </w:p>
    <w:p w14:paraId="7B6CC67C" w14:textId="237A9A49" w:rsidR="008D6E3D" w:rsidRDefault="00DE2CC6" w:rsidP="00DE2CC6">
      <w:pPr>
        <w:pStyle w:val="BodyText"/>
        <w:spacing w:line="276" w:lineRule="auto"/>
        <w:jc w:val="both"/>
        <w:rPr>
          <w:spacing w:val="-6"/>
        </w:rPr>
      </w:pPr>
      <w:r>
        <w:t>The</w:t>
      </w:r>
      <w:r>
        <w:rPr>
          <w:spacing w:val="-9"/>
        </w:rPr>
        <w:t xml:space="preserve"> </w:t>
      </w:r>
      <w:r>
        <w:t>Wastewater Treatment Division capital program is supported</w:t>
      </w:r>
      <w:r>
        <w:rPr>
          <w:spacing w:val="-6"/>
        </w:rPr>
        <w:t xml:space="preserve"> primarily by bonded indebtedness, in the form of general obligation, sewer revenue bonds, </w:t>
      </w:r>
      <w:r w:rsidR="0067694B">
        <w:rPr>
          <w:spacing w:val="-6"/>
        </w:rPr>
        <w:t>and</w:t>
      </w:r>
      <w:r>
        <w:rPr>
          <w:spacing w:val="-6"/>
        </w:rPr>
        <w:t xml:space="preserve"> variable rate bonds</w:t>
      </w:r>
      <w:r w:rsidR="00A328FA">
        <w:rPr>
          <w:spacing w:val="-6"/>
        </w:rPr>
        <w:t>.</w:t>
      </w:r>
      <w:r w:rsidR="001D3B0E">
        <w:rPr>
          <w:spacing w:val="-6"/>
        </w:rPr>
        <w:t xml:space="preserve"> Low interest loans from the State Revolving Fund and the Public Works Fund are also used to support the capital program. </w:t>
      </w:r>
      <w:r>
        <w:rPr>
          <w:spacing w:val="-6"/>
        </w:rPr>
        <w:t xml:space="preserve"> </w:t>
      </w:r>
      <w:r w:rsidR="001D3B0E">
        <w:rPr>
          <w:spacing w:val="-6"/>
        </w:rPr>
        <w:t xml:space="preserve">The </w:t>
      </w:r>
      <w:r w:rsidR="004B0BC5">
        <w:rPr>
          <w:spacing w:val="-6"/>
        </w:rPr>
        <w:t xml:space="preserve">Wastewater </w:t>
      </w:r>
      <w:r>
        <w:rPr>
          <w:spacing w:val="-6"/>
        </w:rPr>
        <w:t>Debt Service budget is</w:t>
      </w:r>
      <w:r w:rsidR="001D3B0E">
        <w:rPr>
          <w:spacing w:val="-6"/>
        </w:rPr>
        <w:t xml:space="preserve"> used to make required payments on bonded indebtedness</w:t>
      </w:r>
      <w:r w:rsidR="008D6E3D">
        <w:rPr>
          <w:spacing w:val="-6"/>
        </w:rPr>
        <w:t xml:space="preserve"> and loans</w:t>
      </w:r>
      <w:r w:rsidR="001D3B0E">
        <w:rPr>
          <w:spacing w:val="-6"/>
        </w:rPr>
        <w:t>.</w:t>
      </w:r>
      <w:r w:rsidR="00A328FA">
        <w:rPr>
          <w:spacing w:val="-6"/>
        </w:rPr>
        <w:t xml:space="preserve">  Outstanding </w:t>
      </w:r>
      <w:r w:rsidR="004B0BC5">
        <w:rPr>
          <w:spacing w:val="-6"/>
        </w:rPr>
        <w:t xml:space="preserve">wastewater </w:t>
      </w:r>
      <w:r w:rsidR="00A328FA">
        <w:rPr>
          <w:spacing w:val="-6"/>
        </w:rPr>
        <w:t>debt</w:t>
      </w:r>
      <w:r w:rsidR="004B0BC5">
        <w:rPr>
          <w:spacing w:val="-6"/>
        </w:rPr>
        <w:t xml:space="preserve"> currently</w:t>
      </w:r>
      <w:r w:rsidR="00A328FA">
        <w:rPr>
          <w:spacing w:val="-6"/>
        </w:rPr>
        <w:t xml:space="preserve"> amounts to approximately $3.</w:t>
      </w:r>
      <w:r w:rsidR="004B0BC5">
        <w:rPr>
          <w:spacing w:val="-6"/>
        </w:rPr>
        <w:t>4</w:t>
      </w:r>
      <w:r w:rsidR="00A328FA">
        <w:rPr>
          <w:spacing w:val="-6"/>
        </w:rPr>
        <w:t xml:space="preserve"> billion</w:t>
      </w:r>
      <w:r w:rsidR="004B0BC5">
        <w:rPr>
          <w:spacing w:val="-6"/>
        </w:rPr>
        <w:t>.</w:t>
      </w:r>
    </w:p>
    <w:p w14:paraId="12BF488E" w14:textId="77777777" w:rsidR="008D6E3D" w:rsidRDefault="008D6E3D" w:rsidP="00DE2CC6">
      <w:pPr>
        <w:pStyle w:val="BodyText"/>
        <w:spacing w:line="276" w:lineRule="auto"/>
        <w:jc w:val="both"/>
        <w:rPr>
          <w:spacing w:val="-6"/>
        </w:rPr>
      </w:pPr>
    </w:p>
    <w:p w14:paraId="22F4B1E5" w14:textId="45BF0CFA" w:rsidR="00DE2CC6" w:rsidRDefault="008D6E3D" w:rsidP="00797FDA">
      <w:pPr>
        <w:pStyle w:val="BodyText"/>
        <w:spacing w:line="276" w:lineRule="auto"/>
        <w:jc w:val="both"/>
        <w:rPr>
          <w:spacing w:val="-6"/>
        </w:rPr>
      </w:pPr>
      <w:r>
        <w:rPr>
          <w:spacing w:val="-6"/>
        </w:rPr>
        <w:t xml:space="preserve">The </w:t>
      </w:r>
      <w:r w:rsidR="004B0BC5">
        <w:rPr>
          <w:spacing w:val="-6"/>
        </w:rPr>
        <w:t xml:space="preserve">Wastewater </w:t>
      </w:r>
      <w:r>
        <w:rPr>
          <w:spacing w:val="-6"/>
        </w:rPr>
        <w:t xml:space="preserve">Debt Service budget is supported by transfers from the Wastewater Operating Budget for debt service and debt defeasance.  </w:t>
      </w:r>
    </w:p>
    <w:p w14:paraId="4D61A5FD" w14:textId="77777777" w:rsidR="004B0BC5" w:rsidRPr="00F6225B" w:rsidRDefault="004B0BC5" w:rsidP="00797FDA">
      <w:pPr>
        <w:pStyle w:val="BodyText"/>
        <w:spacing w:line="276" w:lineRule="auto"/>
        <w:jc w:val="both"/>
      </w:pPr>
    </w:p>
    <w:p w14:paraId="20596A2C" w14:textId="77777777" w:rsidR="00DE2CC6" w:rsidRPr="000C615A" w:rsidRDefault="00DE2CC6" w:rsidP="00DE2CC6">
      <w:pPr>
        <w:spacing w:line="264" w:lineRule="auto"/>
        <w:contextualSpacing/>
        <w:jc w:val="center"/>
        <w:rPr>
          <w:rFonts w:ascii="Arial" w:hAnsi="Arial" w:cs="Arial"/>
          <w:b/>
          <w:sz w:val="24"/>
          <w:szCs w:val="24"/>
        </w:rPr>
      </w:pPr>
      <w:r w:rsidRPr="000C615A">
        <w:rPr>
          <w:rFonts w:ascii="Arial" w:hAnsi="Arial" w:cs="Arial"/>
          <w:b/>
          <w:smallCaps/>
          <w:sz w:val="24"/>
          <w:szCs w:val="24"/>
          <w:u w:val="single"/>
        </w:rPr>
        <w:t>Summary of Proposed Budget and Changes</w:t>
      </w:r>
    </w:p>
    <w:p w14:paraId="4A24DE3F" w14:textId="27239CFD" w:rsidR="00DE2CC6" w:rsidRPr="00B63E66" w:rsidRDefault="00DE2CC6" w:rsidP="00DE2CC6">
      <w:pPr>
        <w:spacing w:line="264" w:lineRule="auto"/>
        <w:contextualSpacing/>
        <w:jc w:val="both"/>
        <w:rPr>
          <w:rFonts w:ascii="Arial" w:hAnsi="Arial" w:cs="Arial"/>
          <w:sz w:val="24"/>
          <w:szCs w:val="24"/>
        </w:rPr>
      </w:pPr>
    </w:p>
    <w:p w14:paraId="05EBFE84" w14:textId="46AE3AB2" w:rsidR="00742E06" w:rsidRPr="00B63E66" w:rsidRDefault="00742E06" w:rsidP="00DE2CC6">
      <w:pPr>
        <w:spacing w:line="264" w:lineRule="auto"/>
        <w:contextualSpacing/>
        <w:jc w:val="both"/>
        <w:rPr>
          <w:rFonts w:ascii="Arial" w:hAnsi="Arial" w:cs="Arial"/>
          <w:sz w:val="24"/>
          <w:szCs w:val="24"/>
        </w:rPr>
      </w:pPr>
      <w:r w:rsidRPr="00B63E66">
        <w:rPr>
          <w:rFonts w:ascii="Arial" w:hAnsi="Arial" w:cs="Arial"/>
          <w:sz w:val="24"/>
          <w:szCs w:val="24"/>
        </w:rPr>
        <w:t xml:space="preserve">The </w:t>
      </w:r>
      <w:r w:rsidR="004B0BC5" w:rsidRPr="00B63E66">
        <w:rPr>
          <w:rFonts w:ascii="Arial" w:hAnsi="Arial" w:cs="Arial"/>
          <w:sz w:val="24"/>
          <w:szCs w:val="24"/>
        </w:rPr>
        <w:t xml:space="preserve">Proposed </w:t>
      </w:r>
      <w:r w:rsidRPr="00B63E66">
        <w:rPr>
          <w:rFonts w:ascii="Arial" w:hAnsi="Arial" w:cs="Arial"/>
          <w:sz w:val="24"/>
          <w:szCs w:val="24"/>
        </w:rPr>
        <w:t xml:space="preserve">Water Quality Operating Fund budget </w:t>
      </w:r>
      <w:r w:rsidR="004B0BC5" w:rsidRPr="00B63E66">
        <w:rPr>
          <w:rFonts w:ascii="Arial" w:hAnsi="Arial" w:cs="Arial"/>
          <w:sz w:val="24"/>
          <w:szCs w:val="24"/>
        </w:rPr>
        <w:t>provides for</w:t>
      </w:r>
      <w:r w:rsidRPr="00B63E66">
        <w:rPr>
          <w:rFonts w:ascii="Arial" w:hAnsi="Arial" w:cs="Arial"/>
          <w:sz w:val="24"/>
          <w:szCs w:val="24"/>
        </w:rPr>
        <w:t xml:space="preserve"> a transfer </w:t>
      </w:r>
      <w:r w:rsidR="004B0BC5" w:rsidRPr="00B63E66">
        <w:rPr>
          <w:rFonts w:ascii="Arial" w:hAnsi="Arial" w:cs="Arial"/>
          <w:sz w:val="24"/>
          <w:szCs w:val="24"/>
        </w:rPr>
        <w:t>of $849,281,528</w:t>
      </w:r>
      <w:r w:rsidR="00435D3D" w:rsidRPr="00B63E66">
        <w:rPr>
          <w:rFonts w:ascii="Arial" w:hAnsi="Arial" w:cs="Arial"/>
          <w:sz w:val="24"/>
          <w:szCs w:val="24"/>
        </w:rPr>
        <w:t xml:space="preserve"> </w:t>
      </w:r>
      <w:r w:rsidRPr="00B63E66">
        <w:rPr>
          <w:rFonts w:ascii="Arial" w:hAnsi="Arial" w:cs="Arial"/>
          <w:sz w:val="24"/>
          <w:szCs w:val="24"/>
        </w:rPr>
        <w:t>into the</w:t>
      </w:r>
      <w:r w:rsidR="004B0BC5" w:rsidRPr="00B63E66">
        <w:rPr>
          <w:rFonts w:ascii="Arial" w:hAnsi="Arial" w:cs="Arial"/>
          <w:sz w:val="24"/>
          <w:szCs w:val="24"/>
        </w:rPr>
        <w:t xml:space="preserve"> Wastewater</w:t>
      </w:r>
      <w:r w:rsidRPr="00B63E66">
        <w:rPr>
          <w:rFonts w:ascii="Arial" w:hAnsi="Arial" w:cs="Arial"/>
          <w:sz w:val="24"/>
          <w:szCs w:val="24"/>
        </w:rPr>
        <w:t xml:space="preserve"> Debt Service budget</w:t>
      </w:r>
      <w:r w:rsidR="00797FDA" w:rsidRPr="00B63E66">
        <w:rPr>
          <w:rFonts w:ascii="Arial" w:hAnsi="Arial" w:cs="Arial"/>
          <w:sz w:val="24"/>
          <w:szCs w:val="24"/>
        </w:rPr>
        <w:t xml:space="preserve">; expenditures of </w:t>
      </w:r>
      <w:r w:rsidR="004B0BC5" w:rsidRPr="00B63E66">
        <w:rPr>
          <w:rFonts w:ascii="Arial" w:hAnsi="Arial" w:cs="Arial"/>
          <w:sz w:val="24"/>
          <w:szCs w:val="24"/>
        </w:rPr>
        <w:t>$</w:t>
      </w:r>
      <w:r w:rsidR="00797FDA" w:rsidRPr="00B63E66">
        <w:rPr>
          <w:rFonts w:ascii="Arial" w:hAnsi="Arial" w:cs="Arial"/>
          <w:sz w:val="24"/>
          <w:szCs w:val="24"/>
        </w:rPr>
        <w:t>948,599,518 are supported by th</w:t>
      </w:r>
      <w:r w:rsidR="004B0BC5" w:rsidRPr="00B63E66">
        <w:rPr>
          <w:rFonts w:ascii="Arial" w:hAnsi="Arial" w:cs="Arial"/>
          <w:sz w:val="24"/>
          <w:szCs w:val="24"/>
        </w:rPr>
        <w:t>is</w:t>
      </w:r>
      <w:r w:rsidR="00797FDA" w:rsidRPr="00B63E66">
        <w:rPr>
          <w:rFonts w:ascii="Arial" w:hAnsi="Arial" w:cs="Arial"/>
          <w:sz w:val="24"/>
          <w:szCs w:val="24"/>
        </w:rPr>
        <w:t xml:space="preserve"> transfer</w:t>
      </w:r>
      <w:r w:rsidR="00435D3D" w:rsidRPr="00B63E66">
        <w:rPr>
          <w:rFonts w:ascii="Arial" w:hAnsi="Arial" w:cs="Arial"/>
          <w:sz w:val="24"/>
          <w:szCs w:val="24"/>
        </w:rPr>
        <w:t>, together with</w:t>
      </w:r>
      <w:r w:rsidR="004B0BC5" w:rsidRPr="00B63E66">
        <w:rPr>
          <w:rFonts w:ascii="Arial" w:hAnsi="Arial" w:cs="Arial"/>
          <w:sz w:val="24"/>
          <w:szCs w:val="24"/>
        </w:rPr>
        <w:t xml:space="preserve"> existing</w:t>
      </w:r>
      <w:r w:rsidR="00797FDA" w:rsidRPr="00B63E66">
        <w:rPr>
          <w:rFonts w:ascii="Arial" w:hAnsi="Arial" w:cs="Arial"/>
          <w:sz w:val="24"/>
          <w:szCs w:val="24"/>
        </w:rPr>
        <w:t xml:space="preserve"> fund balance. </w:t>
      </w:r>
    </w:p>
    <w:p w14:paraId="250E89E5" w14:textId="39CCD7C1" w:rsidR="00EB35CB" w:rsidRPr="00B63E66" w:rsidRDefault="00EB35CB" w:rsidP="00DE2CC6">
      <w:pPr>
        <w:spacing w:line="264" w:lineRule="auto"/>
        <w:contextualSpacing/>
        <w:jc w:val="both"/>
        <w:rPr>
          <w:rFonts w:ascii="Arial" w:hAnsi="Arial" w:cs="Arial"/>
          <w:sz w:val="24"/>
          <w:szCs w:val="24"/>
        </w:rPr>
      </w:pPr>
    </w:p>
    <w:p w14:paraId="26A700AE" w14:textId="77777777" w:rsidR="00EB35CB" w:rsidRPr="00B63E66" w:rsidRDefault="00EB35CB" w:rsidP="00EB35CB">
      <w:pPr>
        <w:spacing w:line="264" w:lineRule="auto"/>
        <w:contextualSpacing/>
        <w:jc w:val="both"/>
        <w:rPr>
          <w:rFonts w:ascii="Arial" w:hAnsi="Arial" w:cs="Arial"/>
          <w:sz w:val="24"/>
          <w:szCs w:val="24"/>
        </w:rPr>
      </w:pPr>
      <w:r w:rsidRPr="00B63E66">
        <w:rPr>
          <w:rFonts w:ascii="Arial" w:hAnsi="Arial" w:cs="Arial"/>
          <w:sz w:val="24"/>
          <w:szCs w:val="24"/>
        </w:rPr>
        <w:t xml:space="preserve">The proposed debt service budget provides for an adjustment to the 2021-2022 Revised Budget by removing one-time 2021-2022 changes including those related to pandemic response, by annualizing changes made in supplemental budgets, and by updating personnel rates; these changes amount to a reduction of $369,896,844.  </w:t>
      </w:r>
    </w:p>
    <w:p w14:paraId="6032C36A" w14:textId="77777777" w:rsidR="00EB35CB" w:rsidRPr="00B63E66" w:rsidRDefault="00EB35CB" w:rsidP="00EB35CB">
      <w:pPr>
        <w:spacing w:line="264" w:lineRule="auto"/>
        <w:contextualSpacing/>
        <w:jc w:val="both"/>
        <w:rPr>
          <w:rFonts w:ascii="Arial" w:hAnsi="Arial" w:cs="Arial"/>
          <w:sz w:val="24"/>
          <w:szCs w:val="24"/>
        </w:rPr>
      </w:pPr>
    </w:p>
    <w:p w14:paraId="31CCE695" w14:textId="0BE8DAEF" w:rsidR="00EB35CB" w:rsidRPr="00B63E66" w:rsidRDefault="00EB35CB" w:rsidP="00EB35CB">
      <w:pPr>
        <w:spacing w:line="264" w:lineRule="auto"/>
        <w:contextualSpacing/>
        <w:jc w:val="both"/>
        <w:rPr>
          <w:rFonts w:ascii="Arial" w:hAnsi="Arial" w:cs="Arial"/>
          <w:sz w:val="24"/>
          <w:szCs w:val="24"/>
        </w:rPr>
      </w:pPr>
      <w:r w:rsidRPr="00B63E66">
        <w:rPr>
          <w:rFonts w:ascii="Arial" w:hAnsi="Arial" w:cs="Arial"/>
          <w:sz w:val="24"/>
          <w:szCs w:val="24"/>
        </w:rPr>
        <w:t xml:space="preserve">Proposed decision packages include </w:t>
      </w:r>
      <w:r w:rsidR="000C615A" w:rsidRPr="00B63E66">
        <w:rPr>
          <w:rFonts w:ascii="Arial" w:hAnsi="Arial" w:cs="Arial"/>
          <w:sz w:val="24"/>
          <w:szCs w:val="24"/>
        </w:rPr>
        <w:t>several</w:t>
      </w:r>
      <w:r w:rsidRPr="00B63E66">
        <w:rPr>
          <w:rFonts w:ascii="Arial" w:hAnsi="Arial" w:cs="Arial"/>
          <w:sz w:val="24"/>
          <w:szCs w:val="24"/>
        </w:rPr>
        <w:t xml:space="preserve"> technical adjustments, including adjusting the debt service requirement for parity debt and subordinate debt, adjusting the debt defeasance amount, and adjusting the retirement of interim debt.  These technical adjustments amount to $409,169,520.  </w:t>
      </w:r>
    </w:p>
    <w:p w14:paraId="063C1117" w14:textId="77777777" w:rsidR="00DE2CC6" w:rsidRPr="00B2433E" w:rsidRDefault="00DE2CC6" w:rsidP="00DE2CC6">
      <w:pPr>
        <w:spacing w:line="264" w:lineRule="auto"/>
        <w:contextualSpacing/>
        <w:jc w:val="center"/>
        <w:rPr>
          <w:rFonts w:ascii="Arial" w:hAnsi="Arial" w:cs="Arial"/>
          <w:b/>
          <w:smallCaps/>
          <w:szCs w:val="24"/>
          <w:u w:val="single"/>
        </w:rPr>
      </w:pPr>
      <w:r>
        <w:rPr>
          <w:rFonts w:ascii="Arial" w:hAnsi="Arial" w:cs="Arial"/>
          <w:b/>
          <w:smallCaps/>
          <w:szCs w:val="24"/>
          <w:u w:val="single"/>
        </w:rPr>
        <w:lastRenderedPageBreak/>
        <w:t>Key Issues</w:t>
      </w:r>
    </w:p>
    <w:p w14:paraId="49684A10" w14:textId="77777777" w:rsidR="00DE2CC6" w:rsidRPr="00B2433E" w:rsidRDefault="00DE2CC6" w:rsidP="00DE2CC6">
      <w:pPr>
        <w:spacing w:line="264" w:lineRule="auto"/>
        <w:contextualSpacing/>
        <w:jc w:val="center"/>
        <w:rPr>
          <w:rFonts w:ascii="Arial" w:hAnsi="Arial" w:cs="Arial"/>
          <w:szCs w:val="24"/>
        </w:rPr>
      </w:pPr>
    </w:p>
    <w:p w14:paraId="491DB984" w14:textId="5AEBFBFD" w:rsidR="00797FDA" w:rsidRPr="005B6403" w:rsidRDefault="00797FDA" w:rsidP="00DE2CC6">
      <w:pPr>
        <w:spacing w:line="264" w:lineRule="auto"/>
        <w:contextualSpacing/>
        <w:jc w:val="both"/>
        <w:rPr>
          <w:rFonts w:ascii="Arial" w:hAnsi="Arial" w:cs="Arial"/>
          <w:b/>
          <w:smallCaps/>
          <w:sz w:val="24"/>
          <w:szCs w:val="24"/>
          <w:u w:val="single"/>
        </w:rPr>
      </w:pPr>
      <w:r w:rsidRPr="005B6403">
        <w:rPr>
          <w:rFonts w:ascii="Arial" w:hAnsi="Arial" w:cs="Arial"/>
          <w:sz w:val="24"/>
          <w:szCs w:val="24"/>
        </w:rPr>
        <w:t>Staff has identified no issues with this budget.</w:t>
      </w:r>
    </w:p>
    <w:p w14:paraId="13228E0A" w14:textId="77777777" w:rsidR="00DE2CC6" w:rsidRDefault="00DE2CC6" w:rsidP="00DE2CC6">
      <w:pPr>
        <w:spacing w:line="264" w:lineRule="auto"/>
        <w:contextualSpacing/>
        <w:jc w:val="both"/>
        <w:rPr>
          <w:rFonts w:ascii="Arial" w:hAnsi="Arial" w:cs="Arial"/>
          <w:szCs w:val="24"/>
        </w:rPr>
      </w:pPr>
    </w:p>
    <w:p w14:paraId="060DC57C" w14:textId="77777777" w:rsidR="00DE2CC6" w:rsidRPr="00B2433E" w:rsidRDefault="00DE2CC6" w:rsidP="00DE2CC6">
      <w:pPr>
        <w:spacing w:line="264" w:lineRule="auto"/>
        <w:contextualSpacing/>
        <w:jc w:val="both"/>
        <w:rPr>
          <w:rFonts w:ascii="Arial" w:hAnsi="Arial" w:cs="Arial"/>
          <w:szCs w:val="24"/>
        </w:rPr>
      </w:pPr>
    </w:p>
    <w:p w14:paraId="730BFB75" w14:textId="77777777" w:rsidR="00DE2CC6" w:rsidRPr="00B2433E" w:rsidRDefault="00DE2CC6" w:rsidP="00DE2CC6">
      <w:pPr>
        <w:spacing w:line="264" w:lineRule="auto"/>
        <w:contextualSpacing/>
        <w:rPr>
          <w:rFonts w:ascii="Arial" w:hAnsi="Arial" w:cs="Arial"/>
          <w:szCs w:val="24"/>
        </w:rPr>
      </w:pPr>
    </w:p>
    <w:p w14:paraId="2DBAACEB" w14:textId="77777777" w:rsidR="00DE2CC6" w:rsidRPr="00B2433E" w:rsidRDefault="00DE2CC6" w:rsidP="00DE2CC6">
      <w:pPr>
        <w:spacing w:line="264" w:lineRule="auto"/>
        <w:contextualSpacing/>
        <w:rPr>
          <w:rFonts w:ascii="Arial" w:hAnsi="Arial" w:cs="Arial"/>
          <w:szCs w:val="24"/>
        </w:rPr>
      </w:pPr>
    </w:p>
    <w:sectPr w:rsidR="00DE2CC6" w:rsidRPr="00B2433E" w:rsidSect="008E7755">
      <w:footerReference w:type="even" r:id="rId7"/>
      <w:footerReference w:type="default" r:id="rId8"/>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B002" w14:textId="77777777" w:rsidR="00770669" w:rsidRDefault="00162CE7">
      <w:pPr>
        <w:spacing w:after="0" w:line="240" w:lineRule="auto"/>
      </w:pPr>
      <w:r>
        <w:separator/>
      </w:r>
    </w:p>
  </w:endnote>
  <w:endnote w:type="continuationSeparator" w:id="0">
    <w:p w14:paraId="3708871B" w14:textId="77777777" w:rsidR="00770669" w:rsidRDefault="0016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3D4" w14:textId="77777777" w:rsidR="00FD1A00" w:rsidRDefault="00EB35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58056" w14:textId="77777777" w:rsidR="00FD1A00" w:rsidRDefault="000C6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CA5" w14:textId="77777777" w:rsidR="00FD1A00" w:rsidRDefault="000C615A">
    <w:pPr>
      <w:pStyle w:val="Footer"/>
      <w:jc w:val="center"/>
    </w:pPr>
  </w:p>
  <w:p w14:paraId="5DD15792" w14:textId="77777777" w:rsidR="00FD1A00" w:rsidRDefault="000C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02A2" w14:textId="77777777" w:rsidR="00770669" w:rsidRDefault="00162CE7">
      <w:pPr>
        <w:spacing w:after="0" w:line="240" w:lineRule="auto"/>
      </w:pPr>
      <w:r>
        <w:separator/>
      </w:r>
    </w:p>
  </w:footnote>
  <w:footnote w:type="continuationSeparator" w:id="0">
    <w:p w14:paraId="6185ED92" w14:textId="77777777" w:rsidR="00770669" w:rsidRDefault="0016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7ED"/>
    <w:multiLevelType w:val="hybridMultilevel"/>
    <w:tmpl w:val="43AA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E2F0B"/>
    <w:multiLevelType w:val="hybridMultilevel"/>
    <w:tmpl w:val="F8E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C6"/>
    <w:rsid w:val="000C615A"/>
    <w:rsid w:val="00162CE7"/>
    <w:rsid w:val="001D3B0E"/>
    <w:rsid w:val="00435D3D"/>
    <w:rsid w:val="004A1788"/>
    <w:rsid w:val="004B0BC5"/>
    <w:rsid w:val="005B6403"/>
    <w:rsid w:val="0067694B"/>
    <w:rsid w:val="00742E06"/>
    <w:rsid w:val="00770669"/>
    <w:rsid w:val="00797FDA"/>
    <w:rsid w:val="008D6E3D"/>
    <w:rsid w:val="00922CD3"/>
    <w:rsid w:val="00A328FA"/>
    <w:rsid w:val="00B20BB8"/>
    <w:rsid w:val="00B63E66"/>
    <w:rsid w:val="00DE2CC6"/>
    <w:rsid w:val="00EB35CB"/>
    <w:rsid w:val="00F6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4E04"/>
  <w15:chartTrackingRefBased/>
  <w15:docId w15:val="{FDB53FE4-8AC3-4CC1-86D6-AFD2BA46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2C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E2CC6"/>
    <w:rPr>
      <w:rFonts w:ascii="Times New Roman" w:eastAsia="Times New Roman" w:hAnsi="Times New Roman" w:cs="Times New Roman"/>
      <w:sz w:val="24"/>
      <w:szCs w:val="20"/>
    </w:rPr>
  </w:style>
  <w:style w:type="character" w:styleId="PageNumber">
    <w:name w:val="page number"/>
    <w:basedOn w:val="DefaultParagraphFont"/>
    <w:rsid w:val="00DE2CC6"/>
  </w:style>
  <w:style w:type="table" w:styleId="TableGrid">
    <w:name w:val="Table Grid"/>
    <w:basedOn w:val="TableNormal"/>
    <w:uiPriority w:val="39"/>
    <w:rsid w:val="00DE2C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C6"/>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1"/>
    <w:qFormat/>
    <w:rsid w:val="00DE2CC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E2CC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Mike</dc:creator>
  <cp:keywords/>
  <dc:description/>
  <cp:lastModifiedBy>Paribello, Brandi</cp:lastModifiedBy>
  <cp:revision>5</cp:revision>
  <dcterms:created xsi:type="dcterms:W3CDTF">2022-09-30T17:04:00Z</dcterms:created>
  <dcterms:modified xsi:type="dcterms:W3CDTF">2022-10-02T21:14:00Z</dcterms:modified>
</cp:coreProperties>
</file>