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45AB" w14:textId="6FF678E8" w:rsidR="008874AA" w:rsidRPr="0063060C" w:rsidRDefault="00062AD4" w:rsidP="008874AA">
      <w:pPr>
        <w:spacing w:line="264" w:lineRule="auto"/>
        <w:contextualSpacing/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>
        <w:rPr>
          <w:rFonts w:ascii="Arial" w:hAnsi="Arial" w:cs="Arial"/>
          <w:b/>
          <w:smallCaps/>
          <w:sz w:val="28"/>
          <w:szCs w:val="28"/>
          <w:u w:val="single"/>
        </w:rPr>
        <w:t>EMERGENCY MEDICAL SERVICES</w:t>
      </w:r>
    </w:p>
    <w:p w14:paraId="4ADD6BCA" w14:textId="77777777" w:rsidR="008874AA" w:rsidRPr="0063060C" w:rsidRDefault="008874AA" w:rsidP="008874AA">
      <w:pPr>
        <w:spacing w:line="264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mallCaps/>
          <w:szCs w:val="24"/>
        </w:rPr>
        <w:t xml:space="preserve">Analyst: Wendy K. Soo </w:t>
      </w:r>
      <w:proofErr w:type="spellStart"/>
      <w:r>
        <w:rPr>
          <w:rFonts w:ascii="Arial" w:hAnsi="Arial" w:cs="Arial"/>
          <w:smallCaps/>
          <w:szCs w:val="24"/>
        </w:rPr>
        <w:t>Hoo</w:t>
      </w:r>
      <w:proofErr w:type="spellEnd"/>
    </w:p>
    <w:p w14:paraId="2B7D06D7" w14:textId="77777777" w:rsidR="008874AA" w:rsidRPr="001C4B19" w:rsidRDefault="008874AA" w:rsidP="008874AA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9480" w:type="dxa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840"/>
        <w:gridCol w:w="180"/>
        <w:gridCol w:w="1596"/>
        <w:gridCol w:w="165"/>
        <w:gridCol w:w="1514"/>
        <w:gridCol w:w="161"/>
        <w:gridCol w:w="896"/>
        <w:gridCol w:w="196"/>
        <w:gridCol w:w="926"/>
        <w:gridCol w:w="6"/>
      </w:tblGrid>
      <w:tr w:rsidR="008874AA" w:rsidRPr="008D0300" w14:paraId="252666BD" w14:textId="77777777" w:rsidTr="00F0318F">
        <w:trPr>
          <w:cantSplit/>
          <w:trHeight w:val="411"/>
          <w:tblHeader/>
          <w:jc w:val="center"/>
        </w:trPr>
        <w:tc>
          <w:tcPr>
            <w:tcW w:w="38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C3381" w14:textId="77777777" w:rsidR="008874AA" w:rsidRPr="008D0300" w:rsidRDefault="008874AA" w:rsidP="00F031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D0CE0F" w14:textId="77777777" w:rsidR="008874AA" w:rsidRPr="008D0300" w:rsidRDefault="008874AA" w:rsidP="00F031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67DC209" w14:textId="77777777" w:rsidR="008874AA" w:rsidRPr="008D0300" w:rsidRDefault="008874AA" w:rsidP="00F031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Expenditures</w:t>
            </w:r>
          </w:p>
        </w:tc>
        <w:tc>
          <w:tcPr>
            <w:tcW w:w="1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18989AB" w14:textId="77777777" w:rsidR="008874AA" w:rsidRPr="008D0300" w:rsidRDefault="008874AA" w:rsidP="00F031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4733A04" w14:textId="77777777" w:rsidR="008874AA" w:rsidRPr="008D0300" w:rsidRDefault="008874AA" w:rsidP="00F031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Revenues</w:t>
            </w:r>
          </w:p>
        </w:tc>
        <w:tc>
          <w:tcPr>
            <w:tcW w:w="1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857D93" w14:textId="77777777" w:rsidR="008874AA" w:rsidRPr="008D0300" w:rsidRDefault="008874AA" w:rsidP="00F031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32F4D3C" w14:textId="77777777" w:rsidR="008874AA" w:rsidRPr="008D0300" w:rsidRDefault="008874AA" w:rsidP="00F031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FTEs</w:t>
            </w:r>
          </w:p>
        </w:tc>
        <w:tc>
          <w:tcPr>
            <w:tcW w:w="1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B2F905" w14:textId="77777777" w:rsidR="008874AA" w:rsidRDefault="008874AA" w:rsidP="00F031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14:paraId="05082955" w14:textId="77777777" w:rsidR="008874AA" w:rsidRPr="008D0300" w:rsidRDefault="008874AA" w:rsidP="00F031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TLTs</w:t>
            </w:r>
          </w:p>
        </w:tc>
      </w:tr>
      <w:tr w:rsidR="008874AA" w:rsidRPr="008D0300" w14:paraId="3DF2630D" w14:textId="77777777" w:rsidTr="00F0318F">
        <w:trPr>
          <w:cantSplit/>
          <w:jc w:val="center"/>
        </w:trPr>
        <w:tc>
          <w:tcPr>
            <w:tcW w:w="3840" w:type="dxa"/>
            <w:tcBorders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4037BA" w14:textId="77777777" w:rsidR="008874AA" w:rsidRPr="00D566D0" w:rsidRDefault="008874AA" w:rsidP="00F0318F">
            <w:pPr>
              <w:rPr>
                <w:rFonts w:ascii="Arial" w:hAnsi="Arial" w:cs="Arial"/>
                <w:sz w:val="22"/>
                <w:szCs w:val="22"/>
              </w:rPr>
            </w:pPr>
            <w:r w:rsidRPr="00D566D0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D566D0">
              <w:rPr>
                <w:rFonts w:ascii="Arial" w:hAnsi="Arial" w:cs="Arial"/>
                <w:sz w:val="22"/>
                <w:szCs w:val="22"/>
              </w:rPr>
              <w:t>-202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566D0">
              <w:rPr>
                <w:rFonts w:ascii="Arial" w:hAnsi="Arial" w:cs="Arial"/>
                <w:sz w:val="22"/>
                <w:szCs w:val="22"/>
              </w:rPr>
              <w:t xml:space="preserve"> Revised Budget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3A6B6F5" w14:textId="77777777" w:rsidR="008874AA" w:rsidRPr="008D0300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14:paraId="1DC5AD6C" w14:textId="071A14C6" w:rsidR="008874AA" w:rsidRPr="008D0300" w:rsidRDefault="0026682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$211,076,742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439AC899" w14:textId="77777777" w:rsidR="008874AA" w:rsidRPr="008D0300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240E708C" w14:textId="3B749883" w:rsidR="008874AA" w:rsidRPr="008D0300" w:rsidRDefault="0026682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$205,017,780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590071F7" w14:textId="77777777" w:rsidR="008874AA" w:rsidRPr="008D0300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0120F909" w14:textId="7DD38BCF" w:rsidR="008874AA" w:rsidRPr="008D0300" w:rsidRDefault="00B97CFB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137.3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68FE7BC0" w14:textId="77777777" w:rsidR="008874AA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5DE5869" w14:textId="29865885" w:rsidR="008874AA" w:rsidRPr="008D0300" w:rsidRDefault="00B97CFB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8874AA" w:rsidRPr="008D0300" w14:paraId="4664087D" w14:textId="77777777" w:rsidTr="00F0318F">
        <w:trPr>
          <w:cantSplit/>
          <w:trHeight w:val="216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CEB853" w14:textId="77777777" w:rsidR="008874AA" w:rsidRDefault="008874AA" w:rsidP="00F0318F">
            <w:pPr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2023-2024 Base Budget Adjust.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3821063" w14:textId="77777777" w:rsidR="008874AA" w:rsidRPr="008D0300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7FBB5D55" w14:textId="76645392" w:rsidR="008874AA" w:rsidRPr="008D0300" w:rsidRDefault="0026682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$7,390,733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1F88EFF" w14:textId="77777777" w:rsidR="008874AA" w:rsidRPr="008D0300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4792B610" w14:textId="3B5A55D3" w:rsidR="008874AA" w:rsidRDefault="0026682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($1,825,788)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625F4D17" w14:textId="77777777" w:rsidR="008874AA" w:rsidRPr="008D0300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7D1D5DEB" w14:textId="29533077" w:rsidR="008874AA" w:rsidRDefault="00B97CFB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6AA8F628" w14:textId="77777777" w:rsidR="008874AA" w:rsidRPr="008D0300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F84B0C" w14:textId="434165AC" w:rsidR="008874AA" w:rsidRPr="008D0300" w:rsidRDefault="00B97CFB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8874AA" w:rsidRPr="008D0300" w14:paraId="6EEA7A7C" w14:textId="77777777" w:rsidTr="00F0318F">
        <w:trPr>
          <w:cantSplit/>
          <w:trHeight w:val="369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6A68A71" w14:textId="77777777" w:rsidR="008874AA" w:rsidRDefault="008874AA" w:rsidP="00F0318F">
            <w:pPr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2023-2024 Decision Packages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E19BB29" w14:textId="77777777" w:rsidR="008874AA" w:rsidRPr="008D0300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7C2DF0E1" w14:textId="395119EA" w:rsidR="008874AA" w:rsidRPr="008D0300" w:rsidRDefault="0026682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$41,167,377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97ED18A" w14:textId="77777777" w:rsidR="008874AA" w:rsidRPr="008D0300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613960E4" w14:textId="1C544C9C" w:rsidR="008874AA" w:rsidRDefault="0026682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$34,621,018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7146E8C9" w14:textId="77777777" w:rsidR="008874AA" w:rsidRPr="008D0300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485D5EAE" w14:textId="17820465" w:rsidR="008874AA" w:rsidRDefault="00B97CFB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41061632" w14:textId="77777777" w:rsidR="008874AA" w:rsidRPr="008D0300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8E65F7" w14:textId="3EE64A6E" w:rsidR="008874AA" w:rsidRDefault="00B97CFB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8874AA" w:rsidRPr="008D0300" w14:paraId="6A45F51A" w14:textId="77777777" w:rsidTr="00F0318F">
        <w:trPr>
          <w:cantSplit/>
          <w:jc w:val="center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69EB5F" w14:textId="77777777" w:rsidR="008874AA" w:rsidRPr="008D0300" w:rsidRDefault="008874AA" w:rsidP="00F031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2023-2024 Proposed Budget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E776CF5" w14:textId="77777777" w:rsidR="008874AA" w:rsidRPr="008D0300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BDDDB" w14:textId="61EAD9A6" w:rsidR="008874AA" w:rsidRPr="0021532C" w:rsidRDefault="0026682A" w:rsidP="00F0318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532C">
              <w:rPr>
                <w:rFonts w:ascii="Arial" w:hAnsi="Arial" w:cs="Arial"/>
                <w:b/>
                <w:bCs/>
                <w:sz w:val="22"/>
                <w:szCs w:val="22"/>
              </w:rPr>
              <w:t>$259,635,000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449ACEC9" w14:textId="77777777" w:rsidR="008874AA" w:rsidRPr="008D0300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01FBBFA7" w14:textId="00B194E0" w:rsidR="008874AA" w:rsidRPr="00B33952" w:rsidRDefault="0026682A" w:rsidP="00F0318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$237,813,010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31F419D9" w14:textId="77777777" w:rsidR="008874AA" w:rsidRPr="00B33952" w:rsidRDefault="008874AA" w:rsidP="00F0318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bottom w:w="72" w:type="dxa"/>
            </w:tcMar>
          </w:tcPr>
          <w:p w14:paraId="7C906BCD" w14:textId="6CD6A3E2" w:rsidR="008874AA" w:rsidRPr="00B33952" w:rsidRDefault="00B97CFB" w:rsidP="00F0318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144.6</w:t>
            </w:r>
          </w:p>
        </w:tc>
        <w:tc>
          <w:tcPr>
            <w:tcW w:w="196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4B84A3BD" w14:textId="77777777" w:rsidR="008874AA" w:rsidRPr="00B33952" w:rsidRDefault="008874AA" w:rsidP="00F0318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A8A64B3" w14:textId="3C31D791" w:rsidR="008874AA" w:rsidRPr="00B33952" w:rsidRDefault="00B97CFB" w:rsidP="00F0318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0.0</w:t>
            </w:r>
          </w:p>
        </w:tc>
      </w:tr>
      <w:tr w:rsidR="008874AA" w:rsidRPr="008D0300" w14:paraId="117EC9EE" w14:textId="77777777" w:rsidTr="00F0318F">
        <w:trPr>
          <w:cantSplit/>
          <w:trHeight w:val="261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8D8CAA1" w14:textId="77777777" w:rsidR="008874AA" w:rsidRPr="00A27DEA" w:rsidRDefault="008874AA" w:rsidP="00F031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 Change from prior biennium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FE23058" w14:textId="77777777" w:rsidR="008874AA" w:rsidRPr="008D0300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3365801A" w14:textId="286D0EB9" w:rsidR="008874AA" w:rsidRPr="0046704C" w:rsidRDefault="0021532C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23.0%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7F04102" w14:textId="77777777" w:rsidR="008874AA" w:rsidRPr="0046704C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36FAC238" w14:textId="77777777" w:rsidR="008874AA" w:rsidRPr="0046704C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4CF9A5AD" w14:textId="77777777" w:rsidR="008874AA" w:rsidRPr="0046704C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bottom w:w="72" w:type="dxa"/>
            </w:tcMar>
          </w:tcPr>
          <w:p w14:paraId="2055B4B1" w14:textId="77777777" w:rsidR="008874AA" w:rsidRPr="0046704C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1301B1C9" w14:textId="77777777" w:rsidR="008874AA" w:rsidRPr="0046704C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0E2A6F" w14:textId="77777777" w:rsidR="008874AA" w:rsidRPr="0046704C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4AA" w:rsidRPr="008D0300" w14:paraId="1509C117" w14:textId="77777777" w:rsidTr="00F0318F">
        <w:trPr>
          <w:cantSplit/>
          <w:trHeight w:val="396"/>
          <w:jc w:val="center"/>
        </w:trPr>
        <w:tc>
          <w:tcPr>
            <w:tcW w:w="3840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156EA0" w14:textId="77777777" w:rsidR="008874AA" w:rsidRPr="00A27DEA" w:rsidRDefault="008874AA" w:rsidP="00F031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Dec. Pkg. as % of prior biennium</w:t>
            </w:r>
          </w:p>
        </w:tc>
        <w:tc>
          <w:tcPr>
            <w:tcW w:w="1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41CEAE" w14:textId="77777777" w:rsidR="008874AA" w:rsidRPr="008D0300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A2F241" w14:textId="1452457D" w:rsidR="008874AA" w:rsidRPr="0046704C" w:rsidRDefault="00C22251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19.5%</w:t>
            </w:r>
          </w:p>
        </w:tc>
        <w:tc>
          <w:tcPr>
            <w:tcW w:w="16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23489FF" w14:textId="77777777" w:rsidR="008874AA" w:rsidRPr="0046704C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72" w:type="dxa"/>
              <w:bottom w:w="72" w:type="dxa"/>
            </w:tcMar>
          </w:tcPr>
          <w:p w14:paraId="749EC224" w14:textId="77777777" w:rsidR="008874AA" w:rsidRPr="0046704C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8ADC5D" w14:textId="77777777" w:rsidR="008874AA" w:rsidRPr="0046704C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single" w:sz="2" w:space="0" w:color="FFFFFF" w:themeColor="background1"/>
            </w:tcBorders>
            <w:tcMar>
              <w:top w:w="72" w:type="dxa"/>
              <w:bottom w:w="72" w:type="dxa"/>
            </w:tcMar>
          </w:tcPr>
          <w:p w14:paraId="2F3483E0" w14:textId="77777777" w:rsidR="008874AA" w:rsidRPr="0046704C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</w:tcPr>
          <w:p w14:paraId="0CB3E2AC" w14:textId="77777777" w:rsidR="008874AA" w:rsidRPr="0046704C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0BA019" w14:textId="77777777" w:rsidR="008874AA" w:rsidRPr="0046704C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4AA" w:rsidRPr="008D0300" w14:paraId="100C1042" w14:textId="77777777" w:rsidTr="00F0318F">
        <w:trPr>
          <w:gridAfter w:val="1"/>
          <w:wAfter w:w="6" w:type="dxa"/>
          <w:cantSplit/>
          <w:trHeight w:val="287"/>
          <w:jc w:val="center"/>
        </w:trPr>
        <w:tc>
          <w:tcPr>
            <w:tcW w:w="9474" w:type="dxa"/>
            <w:gridSpan w:val="9"/>
            <w:tcBorders>
              <w:top w:val="dotted" w:sz="4" w:space="0" w:color="auto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2415950" w14:textId="4752DBAB" w:rsidR="008874AA" w:rsidRPr="006F4699" w:rsidRDefault="008874AA" w:rsidP="00F0318F">
            <w:pPr>
              <w:spacing w:line="264" w:lineRule="auto"/>
              <w:ind w:left="216"/>
              <w:rPr>
                <w:rFonts w:ascii="Arial" w:hAnsi="Arial" w:cs="Arial"/>
                <w:b/>
                <w:sz w:val="22"/>
                <w:szCs w:val="22"/>
              </w:rPr>
            </w:pPr>
            <w:r w:rsidRPr="006F4699">
              <w:rPr>
                <w:rFonts w:ascii="Arial" w:hAnsi="Arial" w:cs="Arial"/>
                <w:b/>
                <w:sz w:val="22"/>
                <w:szCs w:val="22"/>
              </w:rPr>
              <w:t>Major Revenue Sources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22251">
              <w:rPr>
                <w:rFonts w:ascii="Arial" w:hAnsi="Arial" w:cs="Arial"/>
                <w:sz w:val="22"/>
                <w:szCs w:val="22"/>
              </w:rPr>
              <w:t>Emergency Medical Services levy</w:t>
            </w:r>
          </w:p>
        </w:tc>
      </w:tr>
      <w:tr w:rsidR="008874AA" w:rsidRPr="008D0300" w14:paraId="3CA6EE97" w14:textId="77777777" w:rsidTr="00F0318F">
        <w:trPr>
          <w:gridAfter w:val="1"/>
          <w:wAfter w:w="6" w:type="dxa"/>
          <w:cantSplit/>
          <w:trHeight w:val="396"/>
          <w:jc w:val="center"/>
        </w:trPr>
        <w:tc>
          <w:tcPr>
            <w:tcW w:w="9474" w:type="dxa"/>
            <w:gridSpan w:val="9"/>
            <w:tcBorders>
              <w:top w:val="nil"/>
              <w:left w:val="nil"/>
              <w:bottom w:val="single" w:sz="12" w:space="0" w:color="auto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9D85E50" w14:textId="5C4007E7" w:rsidR="008874AA" w:rsidRPr="008C07EB" w:rsidRDefault="008874AA" w:rsidP="00F0318F">
            <w:pPr>
              <w:spacing w:line="264" w:lineRule="auto"/>
              <w:ind w:left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Base Budget Assumptions: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5090">
              <w:rPr>
                <w:rFonts w:ascii="Arial" w:hAnsi="Arial" w:cs="Arial"/>
                <w:sz w:val="22"/>
                <w:szCs w:val="22"/>
              </w:rPr>
              <w:t xml:space="preserve"> Update</w:t>
            </w:r>
            <w:r w:rsidR="00E234D5">
              <w:rPr>
                <w:rFonts w:ascii="Arial" w:hAnsi="Arial" w:cs="Arial"/>
                <w:sz w:val="22"/>
                <w:szCs w:val="22"/>
              </w:rPr>
              <w:t>d</w:t>
            </w:r>
            <w:r w:rsidR="000A50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3400">
              <w:rPr>
                <w:rFonts w:ascii="Arial" w:hAnsi="Arial" w:cs="Arial"/>
                <w:sz w:val="22"/>
                <w:szCs w:val="22"/>
              </w:rPr>
              <w:t xml:space="preserve">personnel costs and </w:t>
            </w:r>
            <w:r w:rsidR="00E234D5">
              <w:rPr>
                <w:rFonts w:ascii="Arial" w:hAnsi="Arial" w:cs="Arial"/>
                <w:sz w:val="22"/>
                <w:szCs w:val="22"/>
              </w:rPr>
              <w:t xml:space="preserve">removal of </w:t>
            </w:r>
            <w:r w:rsidR="00133400">
              <w:rPr>
                <w:rFonts w:ascii="Arial" w:hAnsi="Arial" w:cs="Arial"/>
                <w:sz w:val="22"/>
                <w:szCs w:val="22"/>
              </w:rPr>
              <w:t>one</w:t>
            </w:r>
            <w:r w:rsidR="00E234D5">
              <w:rPr>
                <w:rFonts w:ascii="Arial" w:hAnsi="Arial" w:cs="Arial"/>
                <w:sz w:val="22"/>
                <w:szCs w:val="22"/>
              </w:rPr>
              <w:t>-time, grant-backed supplementals</w:t>
            </w:r>
            <w:r w:rsidR="001334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B1BF44A" w14:textId="77777777" w:rsidR="008874AA" w:rsidRDefault="008874AA" w:rsidP="008874AA">
      <w:pPr>
        <w:spacing w:line="264" w:lineRule="auto"/>
        <w:contextualSpacing/>
        <w:rPr>
          <w:rFonts w:ascii="Arial" w:hAnsi="Arial" w:cs="Arial"/>
          <w:b/>
          <w:szCs w:val="24"/>
          <w:u w:val="single"/>
        </w:rPr>
      </w:pPr>
    </w:p>
    <w:p w14:paraId="2A77A821" w14:textId="77777777" w:rsidR="008874AA" w:rsidRPr="00B2433E" w:rsidRDefault="008874AA" w:rsidP="008874AA">
      <w:pPr>
        <w:spacing w:line="264" w:lineRule="auto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mallCaps/>
          <w:szCs w:val="24"/>
          <w:u w:val="single"/>
        </w:rPr>
        <w:t>Description</w:t>
      </w:r>
    </w:p>
    <w:p w14:paraId="4B79CD88" w14:textId="77777777" w:rsidR="008874AA" w:rsidRDefault="008874AA" w:rsidP="008874AA">
      <w:pPr>
        <w:spacing w:line="264" w:lineRule="auto"/>
        <w:contextualSpacing/>
        <w:jc w:val="both"/>
        <w:rPr>
          <w:rFonts w:ascii="Arial" w:hAnsi="Arial" w:cs="Arial"/>
          <w:szCs w:val="24"/>
        </w:rPr>
      </w:pPr>
    </w:p>
    <w:p w14:paraId="2960C1EA" w14:textId="7F53A448" w:rsidR="00BD6C3A" w:rsidRPr="00BD6C3A" w:rsidRDefault="00BD6C3A" w:rsidP="00BD6C3A">
      <w:pPr>
        <w:spacing w:line="264" w:lineRule="auto"/>
        <w:contextualSpacing/>
        <w:jc w:val="both"/>
        <w:rPr>
          <w:rFonts w:ascii="Arial" w:hAnsi="Arial" w:cs="Arial"/>
          <w:szCs w:val="24"/>
        </w:rPr>
      </w:pPr>
      <w:r w:rsidRPr="00BD6C3A">
        <w:rPr>
          <w:rFonts w:ascii="Arial" w:hAnsi="Arial" w:cs="Arial"/>
          <w:szCs w:val="24"/>
        </w:rPr>
        <w:t>EMS, a division of Public Health – Seattle &amp; King County (PHSKC), operates a coordinated regional partnership providing a continuum of care for people in need of emergency medical care services (Medic One) and oversees a tiered regional model for emergency medical care and training throughout the county. EMS is primarily funded by a countywide, voter-approved six</w:t>
      </w:r>
      <w:r>
        <w:rPr>
          <w:rFonts w:ascii="Arial" w:hAnsi="Arial" w:cs="Arial"/>
          <w:szCs w:val="24"/>
        </w:rPr>
        <w:t>-</w:t>
      </w:r>
      <w:r w:rsidRPr="00BD6C3A">
        <w:rPr>
          <w:rFonts w:ascii="Arial" w:hAnsi="Arial" w:cs="Arial"/>
          <w:szCs w:val="24"/>
        </w:rPr>
        <w:t>year EMS levy which will expire</w:t>
      </w:r>
      <w:r>
        <w:rPr>
          <w:rFonts w:ascii="Arial" w:hAnsi="Arial" w:cs="Arial"/>
          <w:szCs w:val="24"/>
        </w:rPr>
        <w:t xml:space="preserve"> at the end of</w:t>
      </w:r>
      <w:r w:rsidR="00D26062">
        <w:rPr>
          <w:rFonts w:ascii="Arial" w:hAnsi="Arial" w:cs="Arial"/>
          <w:szCs w:val="24"/>
        </w:rPr>
        <w:t xml:space="preserve"> 2025</w:t>
      </w:r>
      <w:r w:rsidRPr="00BD6C3A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 </w:t>
      </w:r>
      <w:r w:rsidRPr="00BD6C3A">
        <w:rPr>
          <w:rFonts w:ascii="Arial" w:hAnsi="Arial" w:cs="Arial"/>
          <w:szCs w:val="24"/>
        </w:rPr>
        <w:t xml:space="preserve">The EMS levy funds supporting this budget are restricted by state law and can only be spent on EMS-related activities. </w:t>
      </w:r>
    </w:p>
    <w:p w14:paraId="7FFBE860" w14:textId="77777777" w:rsidR="00BD6C3A" w:rsidRPr="00BD6C3A" w:rsidRDefault="00BD6C3A" w:rsidP="00BD6C3A">
      <w:pPr>
        <w:spacing w:line="264" w:lineRule="auto"/>
        <w:contextualSpacing/>
        <w:jc w:val="both"/>
        <w:rPr>
          <w:rFonts w:ascii="Arial" w:hAnsi="Arial" w:cs="Arial"/>
          <w:szCs w:val="24"/>
        </w:rPr>
      </w:pPr>
    </w:p>
    <w:p w14:paraId="7E0E97D1" w14:textId="49646B1F" w:rsidR="00BD6C3A" w:rsidRPr="00BD6C3A" w:rsidRDefault="00BD6C3A" w:rsidP="00BD6C3A">
      <w:pPr>
        <w:spacing w:line="264" w:lineRule="auto"/>
        <w:contextualSpacing/>
        <w:jc w:val="both"/>
        <w:rPr>
          <w:rFonts w:ascii="Arial" w:hAnsi="Arial" w:cs="Arial"/>
          <w:szCs w:val="24"/>
        </w:rPr>
      </w:pPr>
      <w:r w:rsidRPr="00BD6C3A">
        <w:rPr>
          <w:rFonts w:ascii="Arial" w:hAnsi="Arial" w:cs="Arial"/>
          <w:szCs w:val="24"/>
        </w:rPr>
        <w:t xml:space="preserve">The tiered system model is built on partnerships rooted in regional, </w:t>
      </w:r>
      <w:r w:rsidR="009E2A97" w:rsidRPr="00BD6C3A">
        <w:rPr>
          <w:rFonts w:ascii="Arial" w:hAnsi="Arial" w:cs="Arial"/>
          <w:szCs w:val="24"/>
        </w:rPr>
        <w:t>collaborative,</w:t>
      </w:r>
      <w:r w:rsidRPr="00BD6C3A">
        <w:rPr>
          <w:rFonts w:ascii="Arial" w:hAnsi="Arial" w:cs="Arial"/>
          <w:szCs w:val="24"/>
        </w:rPr>
        <w:t xml:space="preserve"> and cross jurisdictional coordination. This system operates in a coordinated partnership with five dispatch centers, five paramedic providers, and </w:t>
      </w:r>
      <w:r>
        <w:rPr>
          <w:rFonts w:ascii="Arial" w:hAnsi="Arial" w:cs="Arial"/>
          <w:szCs w:val="24"/>
        </w:rPr>
        <w:t xml:space="preserve">28 </w:t>
      </w:r>
      <w:r w:rsidRPr="00BD6C3A">
        <w:rPr>
          <w:rFonts w:ascii="Arial" w:hAnsi="Arial" w:cs="Arial"/>
          <w:szCs w:val="24"/>
        </w:rPr>
        <w:t>fire departments. This partnership also requires collaboration with local hospital emergency departments, private ambulance companies, and other organizations.</w:t>
      </w:r>
    </w:p>
    <w:p w14:paraId="09F0A384" w14:textId="77777777" w:rsidR="008874AA" w:rsidRPr="00F6225B" w:rsidRDefault="008874AA" w:rsidP="008874AA">
      <w:pPr>
        <w:spacing w:line="264" w:lineRule="auto"/>
        <w:contextualSpacing/>
        <w:rPr>
          <w:rFonts w:ascii="Arial" w:hAnsi="Arial" w:cs="Arial"/>
          <w:szCs w:val="24"/>
        </w:rPr>
      </w:pPr>
    </w:p>
    <w:p w14:paraId="6FBDADB5" w14:textId="77777777" w:rsidR="008874AA" w:rsidRPr="00B2433E" w:rsidRDefault="008874AA" w:rsidP="008874AA">
      <w:pPr>
        <w:spacing w:line="264" w:lineRule="auto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mallCaps/>
          <w:szCs w:val="24"/>
          <w:u w:val="single"/>
        </w:rPr>
        <w:t>Summary of Proposed Budget and Changes</w:t>
      </w:r>
    </w:p>
    <w:p w14:paraId="5ABDDFC7" w14:textId="68EE1306" w:rsidR="008874AA" w:rsidRDefault="008874AA" w:rsidP="008874AA">
      <w:pPr>
        <w:spacing w:line="264" w:lineRule="auto"/>
        <w:contextualSpacing/>
        <w:jc w:val="both"/>
        <w:rPr>
          <w:rFonts w:ascii="Arial" w:hAnsi="Arial" w:cs="Arial"/>
          <w:szCs w:val="24"/>
        </w:rPr>
      </w:pPr>
    </w:p>
    <w:p w14:paraId="105CCF09" w14:textId="59D4C4F0" w:rsidR="0086488F" w:rsidRDefault="0086488F" w:rsidP="008874AA">
      <w:pPr>
        <w:spacing w:line="264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EMS budget is proposed to increase by 23 percent from $211 million in 2021-2022 to $260 million in 2023-2024.  The proposed changes </w:t>
      </w:r>
      <w:r w:rsidR="00AC79FF">
        <w:rPr>
          <w:rFonts w:ascii="Arial" w:hAnsi="Arial" w:cs="Arial"/>
          <w:szCs w:val="24"/>
        </w:rPr>
        <w:t xml:space="preserve">are largely driven by </w:t>
      </w:r>
      <w:r w:rsidR="00F0701A">
        <w:rPr>
          <w:rFonts w:ascii="Arial" w:hAnsi="Arial" w:cs="Arial"/>
          <w:szCs w:val="24"/>
        </w:rPr>
        <w:t xml:space="preserve">technical adjustments to </w:t>
      </w:r>
      <w:r w:rsidR="00AC79FF">
        <w:rPr>
          <w:rFonts w:ascii="Arial" w:hAnsi="Arial" w:cs="Arial"/>
          <w:szCs w:val="24"/>
        </w:rPr>
        <w:t>allocations to EMS regional partners</w:t>
      </w:r>
      <w:r w:rsidR="004F58A1">
        <w:rPr>
          <w:rFonts w:ascii="Arial" w:hAnsi="Arial" w:cs="Arial"/>
          <w:szCs w:val="24"/>
        </w:rPr>
        <w:t xml:space="preserve"> ($21.5 million)</w:t>
      </w:r>
      <w:r w:rsidR="00AC79FF">
        <w:rPr>
          <w:rFonts w:ascii="Arial" w:hAnsi="Arial" w:cs="Arial"/>
          <w:szCs w:val="24"/>
        </w:rPr>
        <w:t>, strategic initiatives</w:t>
      </w:r>
      <w:r w:rsidR="004F58A1">
        <w:rPr>
          <w:rFonts w:ascii="Arial" w:hAnsi="Arial" w:cs="Arial"/>
          <w:szCs w:val="24"/>
        </w:rPr>
        <w:t xml:space="preserve"> ($4.1 million)</w:t>
      </w:r>
      <w:r w:rsidR="00F0701A">
        <w:rPr>
          <w:rFonts w:ascii="Arial" w:hAnsi="Arial" w:cs="Arial"/>
          <w:szCs w:val="24"/>
        </w:rPr>
        <w:t>,</w:t>
      </w:r>
      <w:r w:rsidR="00AC79FF">
        <w:rPr>
          <w:rFonts w:ascii="Arial" w:hAnsi="Arial" w:cs="Arial"/>
          <w:szCs w:val="24"/>
        </w:rPr>
        <w:t xml:space="preserve"> and King County Medic One</w:t>
      </w:r>
      <w:r w:rsidR="004F58A1">
        <w:rPr>
          <w:rFonts w:ascii="Arial" w:hAnsi="Arial" w:cs="Arial"/>
          <w:szCs w:val="24"/>
        </w:rPr>
        <w:t xml:space="preserve"> ($5.2 million)</w:t>
      </w:r>
      <w:r w:rsidR="00F0701A">
        <w:rPr>
          <w:rFonts w:ascii="Arial" w:hAnsi="Arial" w:cs="Arial"/>
          <w:szCs w:val="24"/>
        </w:rPr>
        <w:t>, as provided for in the Medic One/EMS 2020-2025 Strategic Plan.</w:t>
      </w:r>
    </w:p>
    <w:p w14:paraId="3FA53E9D" w14:textId="415FD232" w:rsidR="004F58A1" w:rsidRDefault="004F58A1" w:rsidP="008874AA">
      <w:pPr>
        <w:spacing w:line="264" w:lineRule="auto"/>
        <w:contextualSpacing/>
        <w:jc w:val="both"/>
        <w:rPr>
          <w:rFonts w:ascii="Arial" w:hAnsi="Arial" w:cs="Arial"/>
          <w:szCs w:val="24"/>
        </w:rPr>
      </w:pPr>
    </w:p>
    <w:p w14:paraId="140F94BE" w14:textId="52941EA7" w:rsidR="004F58A1" w:rsidRDefault="004F58A1" w:rsidP="00F86147">
      <w:pPr>
        <w:keepNext/>
        <w:spacing w:line="264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In addition, several smaller requests include:</w:t>
      </w:r>
    </w:p>
    <w:p w14:paraId="1768C2FD" w14:textId="290D20FA" w:rsidR="004F58A1" w:rsidRDefault="004F58A1" w:rsidP="00F86147">
      <w:pPr>
        <w:keepNext/>
        <w:spacing w:line="264" w:lineRule="auto"/>
        <w:contextualSpacing/>
        <w:jc w:val="both"/>
        <w:rPr>
          <w:rFonts w:ascii="Arial" w:hAnsi="Arial" w:cs="Arial"/>
          <w:szCs w:val="24"/>
        </w:rPr>
      </w:pPr>
    </w:p>
    <w:p w14:paraId="77B6F214" w14:textId="311F2F83" w:rsidR="004F58A1" w:rsidRDefault="00181337" w:rsidP="00F86147">
      <w:pPr>
        <w:pStyle w:val="ListParagraph"/>
        <w:keepNext/>
        <w:numPr>
          <w:ilvl w:val="0"/>
          <w:numId w:val="3"/>
        </w:numPr>
        <w:spacing w:line="264" w:lineRule="auto"/>
        <w:jc w:val="both"/>
        <w:rPr>
          <w:rFonts w:ascii="Arial" w:hAnsi="Arial" w:cs="Arial"/>
          <w:szCs w:val="24"/>
        </w:rPr>
      </w:pPr>
      <w:r w:rsidRPr="00251D2B">
        <w:rPr>
          <w:rFonts w:ascii="Arial" w:hAnsi="Arial" w:cs="Arial"/>
          <w:szCs w:val="24"/>
          <w:u w:val="single"/>
        </w:rPr>
        <w:t xml:space="preserve">$1.6 million </w:t>
      </w:r>
      <w:r w:rsidR="00251D2B" w:rsidRPr="00251D2B">
        <w:rPr>
          <w:rFonts w:ascii="Arial" w:hAnsi="Arial" w:cs="Arial"/>
          <w:szCs w:val="24"/>
          <w:u w:val="single"/>
        </w:rPr>
        <w:t xml:space="preserve">for </w:t>
      </w:r>
      <w:r w:rsidR="00251D2B">
        <w:rPr>
          <w:rFonts w:ascii="Arial" w:hAnsi="Arial" w:cs="Arial"/>
          <w:szCs w:val="24"/>
          <w:u w:val="single"/>
        </w:rPr>
        <w:t xml:space="preserve">increased </w:t>
      </w:r>
      <w:r w:rsidR="003517C9" w:rsidRPr="00251D2B">
        <w:rPr>
          <w:rFonts w:ascii="Arial" w:hAnsi="Arial" w:cs="Arial"/>
          <w:szCs w:val="24"/>
          <w:u w:val="single"/>
        </w:rPr>
        <w:t xml:space="preserve">regional emergency medical technician </w:t>
      </w:r>
      <w:r w:rsidRPr="00251D2B">
        <w:rPr>
          <w:rFonts w:ascii="Arial" w:hAnsi="Arial" w:cs="Arial"/>
          <w:szCs w:val="24"/>
          <w:u w:val="single"/>
        </w:rPr>
        <w:t xml:space="preserve">(EMT) </w:t>
      </w:r>
      <w:r w:rsidR="003517C9" w:rsidRPr="00251D2B">
        <w:rPr>
          <w:rFonts w:ascii="Arial" w:hAnsi="Arial" w:cs="Arial"/>
          <w:szCs w:val="24"/>
          <w:u w:val="single"/>
        </w:rPr>
        <w:t>and paramedic training</w:t>
      </w:r>
      <w:r w:rsidR="0077749F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77749F">
        <w:rPr>
          <w:rFonts w:ascii="Arial" w:hAnsi="Arial" w:cs="Arial"/>
          <w:szCs w:val="24"/>
        </w:rPr>
        <w:t xml:space="preserve"> A</w:t>
      </w:r>
      <w:r>
        <w:rPr>
          <w:rFonts w:ascii="Arial" w:hAnsi="Arial" w:cs="Arial"/>
          <w:szCs w:val="24"/>
        </w:rPr>
        <w:t xml:space="preserve"> significant portion of the EMT and paramedic workforce is eligible for retirement</w:t>
      </w:r>
      <w:r w:rsidR="0077749F">
        <w:rPr>
          <w:rFonts w:ascii="Arial" w:hAnsi="Arial" w:cs="Arial"/>
          <w:szCs w:val="24"/>
        </w:rPr>
        <w:t>.  This decision package focuses on training for new EMTs and paramedics.</w:t>
      </w:r>
    </w:p>
    <w:p w14:paraId="146E7688" w14:textId="77777777" w:rsidR="00FC2B45" w:rsidRDefault="00FC2B45" w:rsidP="00FC2B45">
      <w:pPr>
        <w:pStyle w:val="ListParagraph"/>
        <w:spacing w:line="264" w:lineRule="auto"/>
        <w:jc w:val="both"/>
        <w:rPr>
          <w:rFonts w:ascii="Arial" w:hAnsi="Arial" w:cs="Arial"/>
          <w:szCs w:val="24"/>
        </w:rPr>
      </w:pPr>
    </w:p>
    <w:p w14:paraId="07D22CFA" w14:textId="06B21089" w:rsidR="00E9401D" w:rsidRDefault="0077749F" w:rsidP="003517C9">
      <w:pPr>
        <w:pStyle w:val="ListParagraph"/>
        <w:numPr>
          <w:ilvl w:val="0"/>
          <w:numId w:val="3"/>
        </w:numPr>
        <w:spacing w:line="264" w:lineRule="auto"/>
        <w:jc w:val="both"/>
        <w:rPr>
          <w:rFonts w:ascii="Arial" w:hAnsi="Arial" w:cs="Arial"/>
          <w:szCs w:val="24"/>
        </w:rPr>
      </w:pPr>
      <w:r w:rsidRPr="00251D2B">
        <w:rPr>
          <w:rFonts w:ascii="Arial" w:hAnsi="Arial" w:cs="Arial"/>
          <w:szCs w:val="24"/>
          <w:u w:val="single"/>
        </w:rPr>
        <w:t>$2.1 million</w:t>
      </w:r>
      <w:r w:rsidR="00063C14" w:rsidRPr="00251D2B">
        <w:rPr>
          <w:rStyle w:val="FootnoteReference"/>
          <w:rFonts w:ascii="Arial" w:hAnsi="Arial" w:cs="Arial"/>
          <w:szCs w:val="24"/>
          <w:u w:val="single"/>
        </w:rPr>
        <w:footnoteReference w:id="1"/>
      </w:r>
      <w:r w:rsidRPr="00251D2B">
        <w:rPr>
          <w:rFonts w:ascii="Arial" w:hAnsi="Arial" w:cs="Arial"/>
          <w:szCs w:val="24"/>
          <w:u w:val="single"/>
        </w:rPr>
        <w:t xml:space="preserve"> </w:t>
      </w:r>
      <w:r w:rsidR="000E10CB" w:rsidRPr="00251D2B">
        <w:rPr>
          <w:rFonts w:ascii="Arial" w:hAnsi="Arial" w:cs="Arial"/>
          <w:szCs w:val="24"/>
          <w:u w:val="single"/>
        </w:rPr>
        <w:t xml:space="preserve">and 6 FTE for </w:t>
      </w:r>
      <w:r w:rsidRPr="00251D2B">
        <w:rPr>
          <w:rFonts w:ascii="Arial" w:hAnsi="Arial" w:cs="Arial"/>
          <w:szCs w:val="24"/>
          <w:u w:val="single"/>
        </w:rPr>
        <w:t>increased King County Medic One staffing.</w:t>
      </w:r>
      <w:r>
        <w:rPr>
          <w:rFonts w:ascii="Arial" w:hAnsi="Arial" w:cs="Arial"/>
          <w:szCs w:val="24"/>
        </w:rPr>
        <w:t xml:space="preserve">  </w:t>
      </w:r>
      <w:r w:rsidR="0094388B">
        <w:rPr>
          <w:rFonts w:ascii="Arial" w:hAnsi="Arial" w:cs="Arial"/>
          <w:szCs w:val="24"/>
        </w:rPr>
        <w:t>This decision package addresses King County Medic One</w:t>
      </w:r>
      <w:r w:rsidR="00981F49">
        <w:rPr>
          <w:rFonts w:ascii="Arial" w:hAnsi="Arial" w:cs="Arial"/>
          <w:szCs w:val="24"/>
        </w:rPr>
        <w:t xml:space="preserve">'s operational needs </w:t>
      </w:r>
      <w:r w:rsidR="00816280">
        <w:rPr>
          <w:rFonts w:ascii="Arial" w:hAnsi="Arial" w:cs="Arial"/>
          <w:szCs w:val="24"/>
        </w:rPr>
        <w:t>from</w:t>
      </w:r>
      <w:r w:rsidR="00981F49">
        <w:rPr>
          <w:rFonts w:ascii="Arial" w:hAnsi="Arial" w:cs="Arial"/>
          <w:szCs w:val="24"/>
        </w:rPr>
        <w:t xml:space="preserve"> having a </w:t>
      </w:r>
      <w:r w:rsidR="0094388B">
        <w:rPr>
          <w:rFonts w:ascii="Arial" w:hAnsi="Arial" w:cs="Arial"/>
          <w:szCs w:val="24"/>
        </w:rPr>
        <w:t>less experienced workforce.</w:t>
      </w:r>
      <w:r w:rsidR="00981F49">
        <w:rPr>
          <w:rFonts w:ascii="Arial" w:hAnsi="Arial" w:cs="Arial"/>
          <w:szCs w:val="24"/>
        </w:rPr>
        <w:t xml:space="preserve">  </w:t>
      </w:r>
    </w:p>
    <w:p w14:paraId="62657C2C" w14:textId="4986C956" w:rsidR="00E9401D" w:rsidRDefault="00981F49" w:rsidP="00E9401D">
      <w:pPr>
        <w:pStyle w:val="ListParagraph"/>
        <w:numPr>
          <w:ilvl w:val="1"/>
          <w:numId w:val="3"/>
        </w:numPr>
        <w:spacing w:line="264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One position is added </w:t>
      </w:r>
      <w:r w:rsidR="00855B14">
        <w:rPr>
          <w:rFonts w:ascii="Arial" w:hAnsi="Arial" w:cs="Arial"/>
          <w:szCs w:val="24"/>
        </w:rPr>
        <w:t xml:space="preserve">to </w:t>
      </w:r>
      <w:r>
        <w:rPr>
          <w:rFonts w:ascii="Arial" w:hAnsi="Arial" w:cs="Arial"/>
          <w:szCs w:val="24"/>
        </w:rPr>
        <w:t xml:space="preserve">augment recruitment, training, mentoring and quality improvement </w:t>
      </w:r>
      <w:proofErr w:type="gramStart"/>
      <w:r>
        <w:rPr>
          <w:rFonts w:ascii="Arial" w:hAnsi="Arial" w:cs="Arial"/>
          <w:szCs w:val="24"/>
        </w:rPr>
        <w:t>activities</w:t>
      </w:r>
      <w:r w:rsidR="00E9401D">
        <w:rPr>
          <w:rFonts w:ascii="Arial" w:hAnsi="Arial" w:cs="Arial"/>
          <w:szCs w:val="24"/>
        </w:rPr>
        <w:t>;</w:t>
      </w:r>
      <w:proofErr w:type="gramEnd"/>
    </w:p>
    <w:p w14:paraId="55386B83" w14:textId="7D11F241" w:rsidR="0077749F" w:rsidRDefault="00981F49" w:rsidP="00E9401D">
      <w:pPr>
        <w:pStyle w:val="ListParagraph"/>
        <w:numPr>
          <w:ilvl w:val="1"/>
          <w:numId w:val="3"/>
        </w:numPr>
        <w:spacing w:line="264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Two additional paramedic FTEs are </w:t>
      </w:r>
      <w:r w:rsidR="00A76662">
        <w:rPr>
          <w:rFonts w:ascii="Arial" w:hAnsi="Arial" w:cs="Arial"/>
          <w:szCs w:val="24"/>
        </w:rPr>
        <w:t xml:space="preserve">proposed </w:t>
      </w:r>
      <w:r>
        <w:rPr>
          <w:rFonts w:ascii="Arial" w:hAnsi="Arial" w:cs="Arial"/>
          <w:szCs w:val="24"/>
        </w:rPr>
        <w:t xml:space="preserve">to better support 24-hour service provided by 9 paramedic units in south King </w:t>
      </w:r>
      <w:proofErr w:type="gramStart"/>
      <w:r>
        <w:rPr>
          <w:rFonts w:ascii="Arial" w:hAnsi="Arial" w:cs="Arial"/>
          <w:szCs w:val="24"/>
        </w:rPr>
        <w:t>County</w:t>
      </w:r>
      <w:r w:rsidR="00E9401D">
        <w:rPr>
          <w:rFonts w:ascii="Arial" w:hAnsi="Arial" w:cs="Arial"/>
          <w:szCs w:val="24"/>
        </w:rPr>
        <w:t>;</w:t>
      </w:r>
      <w:proofErr w:type="gramEnd"/>
      <w:r w:rsidR="005037CD">
        <w:rPr>
          <w:rFonts w:ascii="Arial" w:hAnsi="Arial" w:cs="Arial"/>
          <w:szCs w:val="24"/>
        </w:rPr>
        <w:t xml:space="preserve"> and</w:t>
      </w:r>
    </w:p>
    <w:p w14:paraId="0DD039A5" w14:textId="6CC5ECE3" w:rsidR="00E9401D" w:rsidRDefault="00E9401D" w:rsidP="00E9401D">
      <w:pPr>
        <w:pStyle w:val="ListParagraph"/>
        <w:numPr>
          <w:ilvl w:val="1"/>
          <w:numId w:val="3"/>
        </w:numPr>
        <w:spacing w:line="264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remaining positions </w:t>
      </w:r>
      <w:r w:rsidR="005037CD">
        <w:rPr>
          <w:rFonts w:ascii="Arial" w:hAnsi="Arial" w:cs="Arial"/>
          <w:szCs w:val="24"/>
        </w:rPr>
        <w:t>would support additional paramedic intern FTEs.</w:t>
      </w:r>
    </w:p>
    <w:p w14:paraId="001DA420" w14:textId="77777777" w:rsidR="00FC2B45" w:rsidRDefault="00FC2B45" w:rsidP="00FC2B45">
      <w:pPr>
        <w:pStyle w:val="ListParagraph"/>
        <w:spacing w:line="264" w:lineRule="auto"/>
        <w:ind w:left="1440"/>
        <w:jc w:val="both"/>
        <w:rPr>
          <w:rFonts w:ascii="Arial" w:hAnsi="Arial" w:cs="Arial"/>
          <w:szCs w:val="24"/>
        </w:rPr>
      </w:pPr>
    </w:p>
    <w:p w14:paraId="4DDBDD04" w14:textId="0C2E0338" w:rsidR="00807E34" w:rsidRDefault="00807E34" w:rsidP="00807E34">
      <w:pPr>
        <w:pStyle w:val="ListParagraph"/>
        <w:numPr>
          <w:ilvl w:val="0"/>
          <w:numId w:val="3"/>
        </w:numPr>
        <w:spacing w:line="264" w:lineRule="auto"/>
        <w:jc w:val="both"/>
        <w:rPr>
          <w:rFonts w:ascii="Arial" w:hAnsi="Arial" w:cs="Arial"/>
          <w:szCs w:val="24"/>
        </w:rPr>
      </w:pPr>
      <w:r w:rsidRPr="00251D2B">
        <w:rPr>
          <w:rFonts w:ascii="Arial" w:hAnsi="Arial" w:cs="Arial"/>
          <w:szCs w:val="24"/>
          <w:u w:val="single"/>
        </w:rPr>
        <w:t xml:space="preserve">$1.1 million to replace a </w:t>
      </w:r>
      <w:proofErr w:type="gramStart"/>
      <w:r w:rsidR="00FC4BE1" w:rsidRPr="00251D2B">
        <w:rPr>
          <w:rFonts w:ascii="Arial" w:hAnsi="Arial" w:cs="Arial"/>
          <w:szCs w:val="24"/>
          <w:u w:val="single"/>
        </w:rPr>
        <w:t>22-year old</w:t>
      </w:r>
      <w:proofErr w:type="gramEnd"/>
      <w:r w:rsidR="00FC4BE1" w:rsidRPr="00251D2B">
        <w:rPr>
          <w:rFonts w:ascii="Arial" w:hAnsi="Arial" w:cs="Arial"/>
          <w:szCs w:val="24"/>
          <w:u w:val="single"/>
        </w:rPr>
        <w:t xml:space="preserve"> </w:t>
      </w:r>
      <w:r w:rsidRPr="00251D2B">
        <w:rPr>
          <w:rFonts w:ascii="Arial" w:hAnsi="Arial" w:cs="Arial"/>
          <w:szCs w:val="24"/>
          <w:u w:val="single"/>
        </w:rPr>
        <w:t>training and recertification learning platform</w:t>
      </w:r>
      <w:r>
        <w:rPr>
          <w:rFonts w:ascii="Arial" w:hAnsi="Arial" w:cs="Arial"/>
          <w:szCs w:val="24"/>
        </w:rPr>
        <w:t xml:space="preserve"> that supports </w:t>
      </w:r>
      <w:r w:rsidR="00174D38">
        <w:rPr>
          <w:rFonts w:ascii="Arial" w:hAnsi="Arial" w:cs="Arial"/>
          <w:szCs w:val="24"/>
        </w:rPr>
        <w:t xml:space="preserve">training of EMS system partners, including EMTs and paramedics employed by fire agencies and cities.  This amount </w:t>
      </w:r>
      <w:r w:rsidR="00D10462">
        <w:rPr>
          <w:rFonts w:ascii="Arial" w:hAnsi="Arial" w:cs="Arial"/>
          <w:szCs w:val="24"/>
        </w:rPr>
        <w:t xml:space="preserve">represents about half of the overall </w:t>
      </w:r>
      <w:r w:rsidR="00174D38">
        <w:rPr>
          <w:rFonts w:ascii="Arial" w:hAnsi="Arial" w:cs="Arial"/>
          <w:szCs w:val="24"/>
        </w:rPr>
        <w:t>$2.</w:t>
      </w:r>
      <w:r w:rsidR="00D10462">
        <w:rPr>
          <w:rFonts w:ascii="Arial" w:hAnsi="Arial" w:cs="Arial"/>
          <w:szCs w:val="24"/>
        </w:rPr>
        <w:t xml:space="preserve">2 million </w:t>
      </w:r>
      <w:r w:rsidR="008802D8">
        <w:rPr>
          <w:rFonts w:ascii="Arial" w:hAnsi="Arial" w:cs="Arial"/>
          <w:szCs w:val="24"/>
        </w:rPr>
        <w:t>budgeted for this project</w:t>
      </w:r>
      <w:r w:rsidR="008802D8">
        <w:rPr>
          <w:rStyle w:val="FootnoteReference"/>
          <w:rFonts w:ascii="Arial" w:hAnsi="Arial" w:cs="Arial"/>
          <w:szCs w:val="24"/>
        </w:rPr>
        <w:footnoteReference w:id="2"/>
      </w:r>
      <w:r w:rsidR="008802D8">
        <w:rPr>
          <w:rFonts w:ascii="Arial" w:hAnsi="Arial" w:cs="Arial"/>
          <w:szCs w:val="24"/>
        </w:rPr>
        <w:t xml:space="preserve"> in the capital improvement program.</w:t>
      </w:r>
    </w:p>
    <w:p w14:paraId="5C3E3989" w14:textId="77777777" w:rsidR="00FC2B45" w:rsidRDefault="00FC2B45" w:rsidP="00FC2B45">
      <w:pPr>
        <w:pStyle w:val="ListParagraph"/>
        <w:spacing w:line="264" w:lineRule="auto"/>
        <w:jc w:val="both"/>
        <w:rPr>
          <w:rFonts w:ascii="Arial" w:hAnsi="Arial" w:cs="Arial"/>
          <w:szCs w:val="24"/>
        </w:rPr>
      </w:pPr>
    </w:p>
    <w:p w14:paraId="66A0F37A" w14:textId="1F73663E" w:rsidR="00FC4BE1" w:rsidRPr="003517C9" w:rsidRDefault="00FC4BE1" w:rsidP="00807E34">
      <w:pPr>
        <w:pStyle w:val="ListParagraph"/>
        <w:numPr>
          <w:ilvl w:val="0"/>
          <w:numId w:val="3"/>
        </w:numPr>
        <w:spacing w:line="264" w:lineRule="auto"/>
        <w:jc w:val="both"/>
        <w:rPr>
          <w:rFonts w:ascii="Arial" w:hAnsi="Arial" w:cs="Arial"/>
          <w:szCs w:val="24"/>
        </w:rPr>
      </w:pPr>
      <w:r w:rsidRPr="00251D2B">
        <w:rPr>
          <w:rFonts w:ascii="Arial" w:hAnsi="Arial" w:cs="Arial"/>
          <w:szCs w:val="24"/>
          <w:u w:val="single"/>
        </w:rPr>
        <w:t xml:space="preserve">$378,000 </w:t>
      </w:r>
      <w:r w:rsidR="00B121DF" w:rsidRPr="00251D2B">
        <w:rPr>
          <w:rFonts w:ascii="Arial" w:hAnsi="Arial" w:cs="Arial"/>
          <w:szCs w:val="24"/>
          <w:u w:val="single"/>
        </w:rPr>
        <w:t>fo</w:t>
      </w:r>
      <w:r w:rsidRPr="00251D2B">
        <w:rPr>
          <w:rFonts w:ascii="Arial" w:hAnsi="Arial" w:cs="Arial"/>
          <w:szCs w:val="24"/>
          <w:u w:val="single"/>
        </w:rPr>
        <w:t>r an Equity, Inclusion and Belonging Manager</w:t>
      </w:r>
      <w:r>
        <w:rPr>
          <w:rFonts w:ascii="Arial" w:hAnsi="Arial" w:cs="Arial"/>
          <w:szCs w:val="24"/>
        </w:rPr>
        <w:t xml:space="preserve"> to support </w:t>
      </w:r>
      <w:r w:rsidR="00B121DF">
        <w:rPr>
          <w:rFonts w:ascii="Arial" w:hAnsi="Arial" w:cs="Arial"/>
          <w:szCs w:val="24"/>
        </w:rPr>
        <w:t xml:space="preserve">the regional EMS system, including working with external partners and Public Health and King County staff.  </w:t>
      </w:r>
      <w:r w:rsidR="00B31119">
        <w:rPr>
          <w:rFonts w:ascii="Arial" w:hAnsi="Arial" w:cs="Arial"/>
          <w:szCs w:val="24"/>
        </w:rPr>
        <w:t>According to Executive staff, t</w:t>
      </w:r>
      <w:r w:rsidR="00011A60">
        <w:rPr>
          <w:rFonts w:ascii="Arial" w:hAnsi="Arial" w:cs="Arial"/>
          <w:szCs w:val="24"/>
        </w:rPr>
        <w:t xml:space="preserve">his position would provide a leadership role to work to enhance EMS's approach to </w:t>
      </w:r>
      <w:r w:rsidR="00251D2B">
        <w:rPr>
          <w:rFonts w:ascii="Arial" w:hAnsi="Arial" w:cs="Arial"/>
          <w:szCs w:val="24"/>
        </w:rPr>
        <w:t xml:space="preserve">equity </w:t>
      </w:r>
      <w:r w:rsidR="00011A60">
        <w:rPr>
          <w:rFonts w:ascii="Arial" w:hAnsi="Arial" w:cs="Arial"/>
          <w:szCs w:val="24"/>
        </w:rPr>
        <w:t xml:space="preserve">and social justice.  This position would partner with the </w:t>
      </w:r>
      <w:r w:rsidR="00251D2B">
        <w:rPr>
          <w:rFonts w:ascii="Arial" w:hAnsi="Arial" w:cs="Arial"/>
          <w:szCs w:val="24"/>
        </w:rPr>
        <w:t>Fire Chiefs Diversity, Equity and Inclusion Subcommittee and work on internal recruitment strategies for the future EMS workforce.  The position would also support planning for the next levy period.</w:t>
      </w:r>
    </w:p>
    <w:p w14:paraId="05E8C5F1" w14:textId="77777777" w:rsidR="008874AA" w:rsidRPr="00FD1A00" w:rsidRDefault="008874AA" w:rsidP="008874AA">
      <w:pPr>
        <w:spacing w:line="264" w:lineRule="auto"/>
        <w:contextualSpacing/>
        <w:jc w:val="both"/>
        <w:rPr>
          <w:rFonts w:ascii="Arial" w:hAnsi="Arial" w:cs="Arial"/>
          <w:szCs w:val="24"/>
        </w:rPr>
      </w:pPr>
    </w:p>
    <w:p w14:paraId="4DFE62A0" w14:textId="77777777" w:rsidR="008874AA" w:rsidRPr="00B2433E" w:rsidRDefault="008874AA" w:rsidP="008874AA">
      <w:pPr>
        <w:spacing w:line="264" w:lineRule="auto"/>
        <w:contextualSpacing/>
        <w:jc w:val="center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Key Issues</w:t>
      </w:r>
    </w:p>
    <w:p w14:paraId="331A772E" w14:textId="77777777" w:rsidR="008874AA" w:rsidRDefault="008874AA" w:rsidP="008874AA">
      <w:pPr>
        <w:spacing w:line="264" w:lineRule="auto"/>
        <w:contextualSpacing/>
        <w:rPr>
          <w:rFonts w:ascii="Arial" w:hAnsi="Arial" w:cs="Arial"/>
          <w:szCs w:val="24"/>
        </w:rPr>
      </w:pPr>
    </w:p>
    <w:p w14:paraId="195AFE7F" w14:textId="77777777" w:rsidR="008874AA" w:rsidRDefault="008874AA" w:rsidP="008874AA">
      <w:pPr>
        <w:spacing w:line="264" w:lineRule="auto"/>
        <w:contextualSpacing/>
      </w:pPr>
      <w:r>
        <w:rPr>
          <w:rFonts w:ascii="Arial" w:hAnsi="Arial" w:cs="Arial"/>
          <w:szCs w:val="24"/>
        </w:rPr>
        <w:t>Council staff has not identified any issues.</w:t>
      </w:r>
    </w:p>
    <w:p w14:paraId="28DC368B" w14:textId="77777777" w:rsidR="007576B5" w:rsidRDefault="007576B5"/>
    <w:sectPr w:rsidR="007576B5" w:rsidSect="008E7755">
      <w:footerReference w:type="even" r:id="rId8"/>
      <w:footerReference w:type="default" r:id="rId9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8245" w14:textId="77777777" w:rsidR="00321EA8" w:rsidRDefault="00321EA8" w:rsidP="00321EA8">
      <w:r>
        <w:separator/>
      </w:r>
    </w:p>
  </w:endnote>
  <w:endnote w:type="continuationSeparator" w:id="0">
    <w:p w14:paraId="07F1305D" w14:textId="77777777" w:rsidR="00321EA8" w:rsidRDefault="00321EA8" w:rsidP="0032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82F5" w14:textId="77777777" w:rsidR="00FD1A00" w:rsidRDefault="00855B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5C66C" w14:textId="77777777" w:rsidR="00FD1A00" w:rsidRDefault="00660F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E0EB" w14:textId="77777777" w:rsidR="00FD1A00" w:rsidRDefault="00660FB0">
    <w:pPr>
      <w:pStyle w:val="Footer"/>
      <w:jc w:val="center"/>
    </w:pPr>
  </w:p>
  <w:p w14:paraId="697475DA" w14:textId="77777777" w:rsidR="00FD1A00" w:rsidRDefault="00660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20206" w14:textId="77777777" w:rsidR="00321EA8" w:rsidRDefault="00321EA8" w:rsidP="00321EA8">
      <w:r>
        <w:separator/>
      </w:r>
    </w:p>
  </w:footnote>
  <w:footnote w:type="continuationSeparator" w:id="0">
    <w:p w14:paraId="30F7929A" w14:textId="77777777" w:rsidR="00321EA8" w:rsidRDefault="00321EA8" w:rsidP="00321EA8">
      <w:r>
        <w:continuationSeparator/>
      </w:r>
    </w:p>
  </w:footnote>
  <w:footnote w:id="1">
    <w:p w14:paraId="333D4D39" w14:textId="301C9BFA" w:rsidR="00063C14" w:rsidRPr="00F86147" w:rsidRDefault="00063C14">
      <w:pPr>
        <w:pStyle w:val="FootnoteText"/>
        <w:rPr>
          <w:rFonts w:ascii="Arial" w:hAnsi="Arial" w:cs="Arial"/>
        </w:rPr>
      </w:pPr>
      <w:r w:rsidRPr="00F86147">
        <w:rPr>
          <w:rStyle w:val="FootnoteReference"/>
          <w:rFonts w:ascii="Arial" w:hAnsi="Arial" w:cs="Arial"/>
        </w:rPr>
        <w:footnoteRef/>
      </w:r>
      <w:r w:rsidRPr="00F86147">
        <w:rPr>
          <w:rFonts w:ascii="Arial" w:hAnsi="Arial" w:cs="Arial"/>
        </w:rPr>
        <w:t xml:space="preserve"> Approximately $600,000 of this amount is associated with retirement payouts.</w:t>
      </w:r>
    </w:p>
  </w:footnote>
  <w:footnote w:id="2">
    <w:p w14:paraId="0A3676B9" w14:textId="297A0971" w:rsidR="008802D8" w:rsidRDefault="008802D8">
      <w:pPr>
        <w:pStyle w:val="FootnoteText"/>
      </w:pPr>
      <w:r w:rsidRPr="00F86147">
        <w:rPr>
          <w:rStyle w:val="FootnoteReference"/>
          <w:rFonts w:ascii="Arial" w:hAnsi="Arial" w:cs="Arial"/>
        </w:rPr>
        <w:footnoteRef/>
      </w:r>
      <w:r w:rsidRPr="00F86147">
        <w:rPr>
          <w:rFonts w:ascii="Arial" w:hAnsi="Arial" w:cs="Arial"/>
        </w:rPr>
        <w:t xml:space="preserve"> Project 1143729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0255D"/>
    <w:multiLevelType w:val="hybridMultilevel"/>
    <w:tmpl w:val="39C0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C49E0"/>
    <w:multiLevelType w:val="hybridMultilevel"/>
    <w:tmpl w:val="954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16E74"/>
    <w:multiLevelType w:val="hybridMultilevel"/>
    <w:tmpl w:val="3D76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A8"/>
    <w:rsid w:val="00011A60"/>
    <w:rsid w:val="00062AD4"/>
    <w:rsid w:val="00063C14"/>
    <w:rsid w:val="000A5090"/>
    <w:rsid w:val="000E10CB"/>
    <w:rsid w:val="00133400"/>
    <w:rsid w:val="00174D38"/>
    <w:rsid w:val="00181337"/>
    <w:rsid w:val="001B5456"/>
    <w:rsid w:val="0021532C"/>
    <w:rsid w:val="00242FB3"/>
    <w:rsid w:val="00251D2B"/>
    <w:rsid w:val="002533EE"/>
    <w:rsid w:val="00263EE1"/>
    <w:rsid w:val="0026682A"/>
    <w:rsid w:val="002A4465"/>
    <w:rsid w:val="002B1F05"/>
    <w:rsid w:val="002C15C0"/>
    <w:rsid w:val="00321EA8"/>
    <w:rsid w:val="003517C9"/>
    <w:rsid w:val="004E4C33"/>
    <w:rsid w:val="004F267B"/>
    <w:rsid w:val="004F58A1"/>
    <w:rsid w:val="005037CD"/>
    <w:rsid w:val="00531EB3"/>
    <w:rsid w:val="00586F94"/>
    <w:rsid w:val="00613BBC"/>
    <w:rsid w:val="00660FB0"/>
    <w:rsid w:val="006B48E6"/>
    <w:rsid w:val="007576B5"/>
    <w:rsid w:val="00767272"/>
    <w:rsid w:val="0077749F"/>
    <w:rsid w:val="00807E34"/>
    <w:rsid w:val="00816280"/>
    <w:rsid w:val="00855B14"/>
    <w:rsid w:val="0086488F"/>
    <w:rsid w:val="00875A23"/>
    <w:rsid w:val="008802D8"/>
    <w:rsid w:val="008874AA"/>
    <w:rsid w:val="008B396B"/>
    <w:rsid w:val="008C1DED"/>
    <w:rsid w:val="0094388B"/>
    <w:rsid w:val="00981F49"/>
    <w:rsid w:val="009A3749"/>
    <w:rsid w:val="009E279A"/>
    <w:rsid w:val="009E2A97"/>
    <w:rsid w:val="00A76662"/>
    <w:rsid w:val="00AC79FF"/>
    <w:rsid w:val="00AE6E60"/>
    <w:rsid w:val="00B121DF"/>
    <w:rsid w:val="00B31119"/>
    <w:rsid w:val="00B41A7F"/>
    <w:rsid w:val="00B97CFB"/>
    <w:rsid w:val="00BD6C3A"/>
    <w:rsid w:val="00BE7041"/>
    <w:rsid w:val="00C22251"/>
    <w:rsid w:val="00C6068C"/>
    <w:rsid w:val="00D10462"/>
    <w:rsid w:val="00D26062"/>
    <w:rsid w:val="00DF3C14"/>
    <w:rsid w:val="00E234D5"/>
    <w:rsid w:val="00E27A4F"/>
    <w:rsid w:val="00E41ADB"/>
    <w:rsid w:val="00E9401D"/>
    <w:rsid w:val="00F0701A"/>
    <w:rsid w:val="00F86147"/>
    <w:rsid w:val="00FC2B45"/>
    <w:rsid w:val="00FC4BE1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730E"/>
  <w15:chartTrackingRefBased/>
  <w15:docId w15:val="{F319930C-F851-402A-A549-10117EF4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A8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1E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EA8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321EA8"/>
  </w:style>
  <w:style w:type="table" w:styleId="TableGrid">
    <w:name w:val="Table Grid"/>
    <w:basedOn w:val="TableNormal"/>
    <w:uiPriority w:val="39"/>
    <w:rsid w:val="00321EA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21EA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EA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1EA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A374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D6C3A"/>
    <w:pPr>
      <w:widowControl w:val="0"/>
      <w:autoSpaceDE w:val="0"/>
      <w:autoSpaceDN w:val="0"/>
    </w:pPr>
    <w:rPr>
      <w:rFonts w:ascii="Arial" w:eastAsia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6C3A"/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CCB11-2A8B-4AF0-BEBC-A6545EFE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Soohoo, Wendy</dc:creator>
  <cp:keywords/>
  <dc:description/>
  <cp:lastModifiedBy>Sanders, April</cp:lastModifiedBy>
  <cp:revision>11</cp:revision>
  <dcterms:created xsi:type="dcterms:W3CDTF">2022-09-29T17:29:00Z</dcterms:created>
  <dcterms:modified xsi:type="dcterms:W3CDTF">2022-09-30T21:09:00Z</dcterms:modified>
</cp:coreProperties>
</file>