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FB8A3" w14:textId="77777777" w:rsidR="00B47B2C" w:rsidRDefault="00B47B2C" w:rsidP="00B47B2C">
      <w:pPr>
        <w:spacing w:line="259" w:lineRule="auto"/>
        <w:jc w:val="center"/>
        <w:rPr>
          <w:rFonts w:ascii="Arial" w:hAnsi="Arial" w:cs="Arial"/>
          <w:b/>
          <w:smallCaps/>
          <w:sz w:val="28"/>
          <w:szCs w:val="28"/>
          <w:u w:val="single"/>
        </w:rPr>
      </w:pPr>
      <w:r>
        <w:rPr>
          <w:rFonts w:ascii="Arial" w:hAnsi="Arial" w:cs="Arial"/>
          <w:b/>
          <w:smallCaps/>
          <w:sz w:val="28"/>
          <w:szCs w:val="28"/>
          <w:u w:val="single"/>
        </w:rPr>
        <w:t>PUBLIC HEALTH ADMINISTRATION</w:t>
      </w:r>
    </w:p>
    <w:p w14:paraId="39CB3349" w14:textId="77777777" w:rsidR="00B47B2C" w:rsidRPr="0063060C" w:rsidRDefault="00B47B2C" w:rsidP="00B47B2C">
      <w:pPr>
        <w:spacing w:line="259" w:lineRule="auto"/>
        <w:jc w:val="center"/>
        <w:rPr>
          <w:rFonts w:ascii="Arial" w:hAnsi="Arial" w:cs="Arial"/>
          <w:b/>
          <w:sz w:val="28"/>
          <w:szCs w:val="28"/>
        </w:rPr>
      </w:pPr>
      <w:r>
        <w:rPr>
          <w:rFonts w:ascii="Arial" w:hAnsi="Arial" w:cs="Arial"/>
          <w:smallCaps/>
          <w:szCs w:val="24"/>
        </w:rPr>
        <w:t>Analyst: Sam Porter</w:t>
      </w:r>
    </w:p>
    <w:p w14:paraId="437B4AD7" w14:textId="77777777" w:rsidR="00B47B2C" w:rsidRPr="001C4B19" w:rsidRDefault="00B47B2C" w:rsidP="00B47B2C">
      <w:pPr>
        <w:rPr>
          <w:rFonts w:ascii="Arial" w:hAnsi="Arial" w:cs="Arial"/>
          <w:b/>
          <w:szCs w:val="24"/>
        </w:rPr>
      </w:pPr>
    </w:p>
    <w:tbl>
      <w:tblPr>
        <w:tblStyle w:val="TableGrid"/>
        <w:tblW w:w="9480" w:type="dxa"/>
        <w:jc w:val="center"/>
        <w:tblCellMar>
          <w:left w:w="72" w:type="dxa"/>
          <w:right w:w="72" w:type="dxa"/>
        </w:tblCellMar>
        <w:tblLook w:val="04A0" w:firstRow="1" w:lastRow="0" w:firstColumn="1" w:lastColumn="0" w:noHBand="0" w:noVBand="1"/>
      </w:tblPr>
      <w:tblGrid>
        <w:gridCol w:w="3840"/>
        <w:gridCol w:w="180"/>
        <w:gridCol w:w="1596"/>
        <w:gridCol w:w="165"/>
        <w:gridCol w:w="1514"/>
        <w:gridCol w:w="161"/>
        <w:gridCol w:w="896"/>
        <w:gridCol w:w="196"/>
        <w:gridCol w:w="926"/>
        <w:gridCol w:w="6"/>
      </w:tblGrid>
      <w:tr w:rsidR="00B47B2C" w:rsidRPr="008D0300" w14:paraId="6EBE17E1" w14:textId="77777777" w:rsidTr="000047E6">
        <w:trPr>
          <w:cantSplit/>
          <w:trHeight w:val="411"/>
          <w:tblHeader/>
          <w:jc w:val="center"/>
        </w:trPr>
        <w:tc>
          <w:tcPr>
            <w:tcW w:w="3840" w:type="dxa"/>
            <w:tcBorders>
              <w:top w:val="single" w:sz="12" w:space="0" w:color="auto"/>
              <w:left w:val="nil"/>
              <w:bottom w:val="single" w:sz="4" w:space="0" w:color="auto"/>
              <w:right w:val="nil"/>
            </w:tcBorders>
            <w:shd w:val="clear" w:color="auto" w:fill="auto"/>
            <w:vAlign w:val="center"/>
          </w:tcPr>
          <w:p w14:paraId="6BF2F358" w14:textId="77777777" w:rsidR="00B47B2C" w:rsidRPr="008D0300" w:rsidRDefault="00B47B2C" w:rsidP="000047E6">
            <w:pPr>
              <w:rPr>
                <w:rFonts w:ascii="Arial" w:hAnsi="Arial" w:cs="Arial"/>
                <w:b/>
                <w:sz w:val="22"/>
                <w:szCs w:val="22"/>
              </w:rPr>
            </w:pPr>
          </w:p>
        </w:tc>
        <w:tc>
          <w:tcPr>
            <w:tcW w:w="180" w:type="dxa"/>
            <w:tcBorders>
              <w:top w:val="single" w:sz="12" w:space="0" w:color="auto"/>
              <w:left w:val="nil"/>
              <w:bottom w:val="nil"/>
              <w:right w:val="nil"/>
            </w:tcBorders>
          </w:tcPr>
          <w:p w14:paraId="626E5D9E" w14:textId="77777777" w:rsidR="00B47B2C" w:rsidRPr="008D0300" w:rsidRDefault="00B47B2C" w:rsidP="000047E6">
            <w:pPr>
              <w:rPr>
                <w:rFonts w:ascii="Arial" w:hAnsi="Arial" w:cs="Arial"/>
                <w:b/>
                <w:sz w:val="22"/>
                <w:szCs w:val="22"/>
              </w:rPr>
            </w:pPr>
          </w:p>
        </w:tc>
        <w:tc>
          <w:tcPr>
            <w:tcW w:w="1596" w:type="dxa"/>
            <w:tcBorders>
              <w:top w:val="single" w:sz="12" w:space="0" w:color="auto"/>
              <w:left w:val="nil"/>
              <w:bottom w:val="nil"/>
              <w:right w:val="nil"/>
            </w:tcBorders>
            <w:vAlign w:val="center"/>
          </w:tcPr>
          <w:p w14:paraId="3F0A70E8" w14:textId="77777777" w:rsidR="00B47B2C" w:rsidRPr="008D0300" w:rsidRDefault="00B47B2C" w:rsidP="000047E6">
            <w:pPr>
              <w:jc w:val="center"/>
              <w:rPr>
                <w:rFonts w:ascii="Arial" w:hAnsi="Arial" w:cs="Arial"/>
                <w:b/>
                <w:sz w:val="22"/>
                <w:szCs w:val="22"/>
              </w:rPr>
            </w:pPr>
            <w:r>
              <w:rPr>
                <w:rFonts w:ascii="Arial" w:hAnsi="Arial" w:cs="Arial"/>
                <w:b/>
                <w:sz w:val="22"/>
                <w:szCs w:val="22"/>
              </w:rPr>
              <w:t>Expenditures</w:t>
            </w:r>
          </w:p>
        </w:tc>
        <w:tc>
          <w:tcPr>
            <w:tcW w:w="165" w:type="dxa"/>
            <w:tcBorders>
              <w:top w:val="single" w:sz="12" w:space="0" w:color="auto"/>
              <w:left w:val="nil"/>
              <w:bottom w:val="nil"/>
              <w:right w:val="nil"/>
            </w:tcBorders>
          </w:tcPr>
          <w:p w14:paraId="0E9A4D73" w14:textId="77777777" w:rsidR="00B47B2C" w:rsidRPr="008D0300" w:rsidRDefault="00B47B2C" w:rsidP="000047E6">
            <w:pPr>
              <w:rPr>
                <w:rFonts w:ascii="Arial" w:hAnsi="Arial" w:cs="Arial"/>
                <w:b/>
                <w:sz w:val="22"/>
                <w:szCs w:val="22"/>
              </w:rPr>
            </w:pPr>
          </w:p>
        </w:tc>
        <w:tc>
          <w:tcPr>
            <w:tcW w:w="1514" w:type="dxa"/>
            <w:tcBorders>
              <w:top w:val="single" w:sz="12" w:space="0" w:color="auto"/>
              <w:left w:val="nil"/>
              <w:bottom w:val="single" w:sz="2" w:space="0" w:color="auto"/>
              <w:right w:val="nil"/>
            </w:tcBorders>
            <w:shd w:val="clear" w:color="auto" w:fill="auto"/>
            <w:vAlign w:val="center"/>
          </w:tcPr>
          <w:p w14:paraId="5099EE19" w14:textId="77777777" w:rsidR="00B47B2C" w:rsidRPr="008D0300" w:rsidRDefault="00B47B2C" w:rsidP="000047E6">
            <w:pPr>
              <w:jc w:val="center"/>
              <w:rPr>
                <w:rFonts w:ascii="Arial" w:hAnsi="Arial" w:cs="Arial"/>
                <w:b/>
                <w:sz w:val="22"/>
                <w:szCs w:val="22"/>
              </w:rPr>
            </w:pPr>
            <w:r>
              <w:rPr>
                <w:rFonts w:ascii="Arial" w:hAnsi="Arial" w:cs="Arial"/>
                <w:b/>
                <w:sz w:val="22"/>
                <w:szCs w:val="22"/>
              </w:rPr>
              <w:t>Revenues</w:t>
            </w:r>
          </w:p>
        </w:tc>
        <w:tc>
          <w:tcPr>
            <w:tcW w:w="161" w:type="dxa"/>
            <w:tcBorders>
              <w:top w:val="single" w:sz="12" w:space="0" w:color="auto"/>
              <w:left w:val="nil"/>
              <w:bottom w:val="nil"/>
              <w:right w:val="nil"/>
            </w:tcBorders>
          </w:tcPr>
          <w:p w14:paraId="3C500D33" w14:textId="77777777" w:rsidR="00B47B2C" w:rsidRPr="008D0300" w:rsidRDefault="00B47B2C" w:rsidP="000047E6">
            <w:pPr>
              <w:rPr>
                <w:rFonts w:ascii="Arial" w:hAnsi="Arial" w:cs="Arial"/>
                <w:b/>
                <w:sz w:val="22"/>
                <w:szCs w:val="22"/>
              </w:rPr>
            </w:pPr>
          </w:p>
        </w:tc>
        <w:tc>
          <w:tcPr>
            <w:tcW w:w="896" w:type="dxa"/>
            <w:tcBorders>
              <w:top w:val="single" w:sz="12" w:space="0" w:color="auto"/>
              <w:left w:val="nil"/>
              <w:bottom w:val="single" w:sz="2" w:space="0" w:color="auto"/>
              <w:right w:val="nil"/>
            </w:tcBorders>
            <w:vAlign w:val="center"/>
          </w:tcPr>
          <w:p w14:paraId="66172861" w14:textId="77777777" w:rsidR="00B47B2C" w:rsidRPr="008D0300" w:rsidRDefault="00B47B2C" w:rsidP="000047E6">
            <w:pPr>
              <w:jc w:val="center"/>
              <w:rPr>
                <w:rFonts w:ascii="Arial" w:hAnsi="Arial" w:cs="Arial"/>
                <w:b/>
                <w:sz w:val="22"/>
                <w:szCs w:val="22"/>
              </w:rPr>
            </w:pPr>
            <w:r>
              <w:rPr>
                <w:rFonts w:ascii="Arial" w:hAnsi="Arial" w:cs="Arial"/>
                <w:b/>
                <w:sz w:val="22"/>
                <w:szCs w:val="22"/>
              </w:rPr>
              <w:t>FTEs</w:t>
            </w:r>
          </w:p>
        </w:tc>
        <w:tc>
          <w:tcPr>
            <w:tcW w:w="196" w:type="dxa"/>
            <w:tcBorders>
              <w:top w:val="single" w:sz="12" w:space="0" w:color="auto"/>
              <w:left w:val="nil"/>
              <w:bottom w:val="nil"/>
              <w:right w:val="nil"/>
            </w:tcBorders>
          </w:tcPr>
          <w:p w14:paraId="2174FCB0" w14:textId="77777777" w:rsidR="00B47B2C" w:rsidRDefault="00B47B2C" w:rsidP="000047E6">
            <w:pPr>
              <w:jc w:val="center"/>
              <w:rPr>
                <w:rFonts w:ascii="Arial" w:hAnsi="Arial" w:cs="Arial"/>
                <w:b/>
                <w:sz w:val="22"/>
                <w:szCs w:val="22"/>
              </w:rPr>
            </w:pPr>
          </w:p>
        </w:tc>
        <w:tc>
          <w:tcPr>
            <w:tcW w:w="932" w:type="dxa"/>
            <w:gridSpan w:val="2"/>
            <w:tcBorders>
              <w:top w:val="single" w:sz="12" w:space="0" w:color="auto"/>
              <w:left w:val="nil"/>
              <w:bottom w:val="single" w:sz="2" w:space="0" w:color="auto"/>
              <w:right w:val="single" w:sz="2" w:space="0" w:color="FFFFFF" w:themeColor="background1"/>
            </w:tcBorders>
            <w:vAlign w:val="center"/>
          </w:tcPr>
          <w:p w14:paraId="200EB18C" w14:textId="77777777" w:rsidR="00B47B2C" w:rsidRPr="008D0300" w:rsidRDefault="00B47B2C" w:rsidP="000047E6">
            <w:pPr>
              <w:jc w:val="center"/>
              <w:rPr>
                <w:rFonts w:ascii="Arial" w:hAnsi="Arial" w:cs="Arial"/>
                <w:b/>
                <w:sz w:val="22"/>
                <w:szCs w:val="22"/>
              </w:rPr>
            </w:pPr>
            <w:r>
              <w:rPr>
                <w:rFonts w:ascii="Arial" w:hAnsi="Arial" w:cs="Arial"/>
                <w:b/>
                <w:sz w:val="22"/>
                <w:szCs w:val="22"/>
              </w:rPr>
              <w:t>TLTs</w:t>
            </w:r>
          </w:p>
        </w:tc>
      </w:tr>
      <w:tr w:rsidR="00B47B2C" w:rsidRPr="008D0300" w14:paraId="42FD401E" w14:textId="77777777" w:rsidTr="000047E6">
        <w:trPr>
          <w:cantSplit/>
          <w:jc w:val="center"/>
        </w:trPr>
        <w:tc>
          <w:tcPr>
            <w:tcW w:w="3840" w:type="dxa"/>
            <w:tcBorders>
              <w:left w:val="nil"/>
              <w:bottom w:val="nil"/>
              <w:right w:val="nil"/>
            </w:tcBorders>
            <w:tcMar>
              <w:top w:w="72" w:type="dxa"/>
              <w:left w:w="115" w:type="dxa"/>
              <w:bottom w:w="72" w:type="dxa"/>
              <w:right w:w="115" w:type="dxa"/>
            </w:tcMar>
          </w:tcPr>
          <w:p w14:paraId="0DA712A5" w14:textId="77777777" w:rsidR="00B47B2C" w:rsidRPr="00D566D0" w:rsidRDefault="00B47B2C" w:rsidP="000047E6">
            <w:pPr>
              <w:rPr>
                <w:rFonts w:ascii="Arial" w:hAnsi="Arial" w:cs="Arial"/>
                <w:sz w:val="22"/>
                <w:szCs w:val="22"/>
              </w:rPr>
            </w:pPr>
            <w:r w:rsidRPr="00D566D0">
              <w:rPr>
                <w:rFonts w:ascii="Arial" w:hAnsi="Arial" w:cs="Arial"/>
                <w:sz w:val="22"/>
                <w:szCs w:val="22"/>
              </w:rPr>
              <w:t>20</w:t>
            </w:r>
            <w:r>
              <w:rPr>
                <w:rFonts w:ascii="Arial" w:hAnsi="Arial" w:cs="Arial"/>
                <w:sz w:val="22"/>
                <w:szCs w:val="22"/>
              </w:rPr>
              <w:t>21</w:t>
            </w:r>
            <w:r w:rsidRPr="00D566D0">
              <w:rPr>
                <w:rFonts w:ascii="Arial" w:hAnsi="Arial" w:cs="Arial"/>
                <w:sz w:val="22"/>
                <w:szCs w:val="22"/>
              </w:rPr>
              <w:t>-202</w:t>
            </w:r>
            <w:r>
              <w:rPr>
                <w:rFonts w:ascii="Arial" w:hAnsi="Arial" w:cs="Arial"/>
                <w:sz w:val="22"/>
                <w:szCs w:val="22"/>
              </w:rPr>
              <w:t>2</w:t>
            </w:r>
            <w:r w:rsidRPr="00D566D0">
              <w:rPr>
                <w:rFonts w:ascii="Arial" w:hAnsi="Arial" w:cs="Arial"/>
                <w:sz w:val="22"/>
                <w:szCs w:val="22"/>
              </w:rPr>
              <w:t xml:space="preserve"> Revised Budget</w:t>
            </w:r>
          </w:p>
        </w:tc>
        <w:tc>
          <w:tcPr>
            <w:tcW w:w="180" w:type="dxa"/>
            <w:tcBorders>
              <w:top w:val="nil"/>
              <w:left w:val="nil"/>
              <w:bottom w:val="nil"/>
              <w:right w:val="nil"/>
            </w:tcBorders>
          </w:tcPr>
          <w:p w14:paraId="5D82F9D0" w14:textId="77777777" w:rsidR="00B47B2C" w:rsidRPr="008D0300" w:rsidRDefault="00B47B2C" w:rsidP="000047E6">
            <w:pPr>
              <w:jc w:val="right"/>
              <w:rPr>
                <w:rFonts w:ascii="Arial" w:hAnsi="Arial" w:cs="Arial"/>
                <w:sz w:val="22"/>
                <w:szCs w:val="22"/>
              </w:rPr>
            </w:pPr>
          </w:p>
        </w:tc>
        <w:tc>
          <w:tcPr>
            <w:tcW w:w="1596" w:type="dxa"/>
            <w:tcBorders>
              <w:left w:val="nil"/>
              <w:bottom w:val="nil"/>
              <w:right w:val="nil"/>
            </w:tcBorders>
          </w:tcPr>
          <w:p w14:paraId="04B69169" w14:textId="77777777" w:rsidR="00B47B2C" w:rsidRPr="008D0300" w:rsidRDefault="00B47B2C" w:rsidP="000047E6">
            <w:pPr>
              <w:jc w:val="right"/>
              <w:rPr>
                <w:rFonts w:ascii="Arial" w:hAnsi="Arial" w:cs="Arial"/>
                <w:sz w:val="22"/>
                <w:szCs w:val="22"/>
              </w:rPr>
            </w:pPr>
            <w:r>
              <w:rPr>
                <w:rFonts w:ascii="Arial" w:hAnsi="Arial" w:cs="Arial"/>
                <w:sz w:val="22"/>
                <w:szCs w:val="22"/>
              </w:rPr>
              <w:t>$</w:t>
            </w:r>
            <w:r w:rsidRPr="00806F2E">
              <w:rPr>
                <w:rFonts w:ascii="Arial" w:hAnsi="Arial" w:cs="Arial"/>
                <w:sz w:val="22"/>
                <w:szCs w:val="22"/>
              </w:rPr>
              <w:t>32,432,993</w:t>
            </w:r>
          </w:p>
        </w:tc>
        <w:tc>
          <w:tcPr>
            <w:tcW w:w="165" w:type="dxa"/>
            <w:tcBorders>
              <w:top w:val="nil"/>
              <w:left w:val="nil"/>
              <w:bottom w:val="nil"/>
              <w:right w:val="nil"/>
            </w:tcBorders>
          </w:tcPr>
          <w:p w14:paraId="6AF50B62" w14:textId="77777777" w:rsidR="00B47B2C" w:rsidRPr="008D0300" w:rsidRDefault="00B47B2C" w:rsidP="000047E6">
            <w:pPr>
              <w:jc w:val="right"/>
              <w:rPr>
                <w:rFonts w:ascii="Arial" w:hAnsi="Arial" w:cs="Arial"/>
                <w:sz w:val="22"/>
                <w:szCs w:val="22"/>
              </w:rPr>
            </w:pPr>
          </w:p>
        </w:tc>
        <w:tc>
          <w:tcPr>
            <w:tcW w:w="1514" w:type="dxa"/>
            <w:tcBorders>
              <w:top w:val="single" w:sz="2" w:space="0" w:color="auto"/>
              <w:left w:val="nil"/>
              <w:bottom w:val="nil"/>
              <w:right w:val="nil"/>
            </w:tcBorders>
            <w:tcMar>
              <w:top w:w="72" w:type="dxa"/>
              <w:bottom w:w="72" w:type="dxa"/>
            </w:tcMar>
          </w:tcPr>
          <w:p w14:paraId="55C2AF2D" w14:textId="77777777" w:rsidR="00B47B2C" w:rsidRPr="008D0300" w:rsidRDefault="00B47B2C" w:rsidP="000047E6">
            <w:pPr>
              <w:jc w:val="right"/>
              <w:rPr>
                <w:rFonts w:ascii="Arial" w:hAnsi="Arial" w:cs="Arial"/>
                <w:sz w:val="22"/>
                <w:szCs w:val="22"/>
              </w:rPr>
            </w:pPr>
            <w:r>
              <w:rPr>
                <w:rFonts w:ascii="Arial" w:hAnsi="Arial" w:cs="Arial"/>
                <w:sz w:val="22"/>
                <w:szCs w:val="22"/>
              </w:rPr>
              <w:t>$31,864,996</w:t>
            </w:r>
          </w:p>
        </w:tc>
        <w:tc>
          <w:tcPr>
            <w:tcW w:w="161" w:type="dxa"/>
            <w:tcBorders>
              <w:top w:val="nil"/>
              <w:left w:val="nil"/>
              <w:bottom w:val="nil"/>
              <w:right w:val="nil"/>
            </w:tcBorders>
          </w:tcPr>
          <w:p w14:paraId="28C745DD" w14:textId="77777777" w:rsidR="00B47B2C" w:rsidRPr="008D0300" w:rsidRDefault="00B47B2C" w:rsidP="000047E6">
            <w:pPr>
              <w:jc w:val="right"/>
              <w:rPr>
                <w:rFonts w:ascii="Arial" w:hAnsi="Arial" w:cs="Arial"/>
                <w:sz w:val="22"/>
                <w:szCs w:val="22"/>
              </w:rPr>
            </w:pPr>
          </w:p>
        </w:tc>
        <w:tc>
          <w:tcPr>
            <w:tcW w:w="896" w:type="dxa"/>
            <w:tcBorders>
              <w:top w:val="single" w:sz="2" w:space="0" w:color="auto"/>
              <w:left w:val="nil"/>
              <w:bottom w:val="nil"/>
              <w:right w:val="nil"/>
            </w:tcBorders>
            <w:tcMar>
              <w:top w:w="72" w:type="dxa"/>
              <w:bottom w:w="72" w:type="dxa"/>
            </w:tcMar>
          </w:tcPr>
          <w:p w14:paraId="7FCFF411" w14:textId="77777777" w:rsidR="00B47B2C" w:rsidRPr="008D0300" w:rsidRDefault="00B47B2C" w:rsidP="000047E6">
            <w:pPr>
              <w:jc w:val="right"/>
              <w:rPr>
                <w:rFonts w:ascii="Arial" w:hAnsi="Arial" w:cs="Arial"/>
                <w:sz w:val="22"/>
                <w:szCs w:val="22"/>
              </w:rPr>
            </w:pPr>
            <w:r>
              <w:rPr>
                <w:rFonts w:ascii="Arial" w:hAnsi="Arial" w:cs="Arial"/>
                <w:sz w:val="22"/>
                <w:szCs w:val="22"/>
              </w:rPr>
              <w:t>75.0</w:t>
            </w:r>
          </w:p>
        </w:tc>
        <w:tc>
          <w:tcPr>
            <w:tcW w:w="196" w:type="dxa"/>
            <w:tcBorders>
              <w:top w:val="nil"/>
              <w:left w:val="nil"/>
              <w:bottom w:val="nil"/>
              <w:right w:val="nil"/>
            </w:tcBorders>
          </w:tcPr>
          <w:p w14:paraId="67D326A3" w14:textId="77777777" w:rsidR="00B47B2C" w:rsidRDefault="00B47B2C" w:rsidP="000047E6">
            <w:pPr>
              <w:jc w:val="right"/>
              <w:rPr>
                <w:rFonts w:ascii="Arial" w:hAnsi="Arial" w:cs="Arial"/>
                <w:sz w:val="22"/>
                <w:szCs w:val="22"/>
              </w:rPr>
            </w:pPr>
          </w:p>
        </w:tc>
        <w:tc>
          <w:tcPr>
            <w:tcW w:w="932" w:type="dxa"/>
            <w:gridSpan w:val="2"/>
            <w:tcBorders>
              <w:top w:val="single" w:sz="2" w:space="0" w:color="auto"/>
              <w:left w:val="nil"/>
              <w:bottom w:val="nil"/>
              <w:right w:val="single" w:sz="2" w:space="0" w:color="FFFFFF" w:themeColor="background1"/>
            </w:tcBorders>
            <w:tcMar>
              <w:top w:w="72" w:type="dxa"/>
              <w:left w:w="115" w:type="dxa"/>
              <w:bottom w:w="72" w:type="dxa"/>
              <w:right w:w="115" w:type="dxa"/>
            </w:tcMar>
          </w:tcPr>
          <w:p w14:paraId="2A7E1BCD" w14:textId="77777777" w:rsidR="00B47B2C" w:rsidRPr="008D0300" w:rsidRDefault="00B47B2C" w:rsidP="000047E6">
            <w:pPr>
              <w:jc w:val="right"/>
              <w:rPr>
                <w:rFonts w:ascii="Arial" w:hAnsi="Arial" w:cs="Arial"/>
                <w:sz w:val="22"/>
                <w:szCs w:val="22"/>
              </w:rPr>
            </w:pPr>
            <w:r>
              <w:rPr>
                <w:rFonts w:ascii="Arial" w:hAnsi="Arial" w:cs="Arial"/>
                <w:sz w:val="22"/>
                <w:szCs w:val="22"/>
              </w:rPr>
              <w:t>0.0</w:t>
            </w:r>
          </w:p>
        </w:tc>
      </w:tr>
      <w:tr w:rsidR="00B47B2C" w:rsidRPr="008D0300" w14:paraId="7B941EED" w14:textId="77777777" w:rsidTr="000047E6">
        <w:trPr>
          <w:cantSplit/>
          <w:trHeight w:val="216"/>
          <w:jc w:val="center"/>
        </w:trPr>
        <w:tc>
          <w:tcPr>
            <w:tcW w:w="3840" w:type="dxa"/>
            <w:tcBorders>
              <w:top w:val="nil"/>
              <w:left w:val="nil"/>
              <w:bottom w:val="nil"/>
              <w:right w:val="nil"/>
            </w:tcBorders>
            <w:tcMar>
              <w:top w:w="72" w:type="dxa"/>
              <w:left w:w="115" w:type="dxa"/>
              <w:bottom w:w="72" w:type="dxa"/>
              <w:right w:w="115" w:type="dxa"/>
            </w:tcMar>
          </w:tcPr>
          <w:p w14:paraId="0891A508" w14:textId="77777777" w:rsidR="00B47B2C" w:rsidRDefault="00B47B2C" w:rsidP="000047E6">
            <w:pPr>
              <w:ind w:left="240"/>
              <w:rPr>
                <w:rFonts w:ascii="Arial" w:hAnsi="Arial" w:cs="Arial"/>
                <w:sz w:val="22"/>
                <w:szCs w:val="22"/>
              </w:rPr>
            </w:pPr>
            <w:r>
              <w:rPr>
                <w:rFonts w:ascii="Arial" w:hAnsi="Arial" w:cs="Arial"/>
                <w:sz w:val="22"/>
                <w:szCs w:val="22"/>
              </w:rPr>
              <w:t>2023-2024 Base Budget Adjust.</w:t>
            </w:r>
          </w:p>
        </w:tc>
        <w:tc>
          <w:tcPr>
            <w:tcW w:w="180" w:type="dxa"/>
            <w:tcBorders>
              <w:top w:val="nil"/>
              <w:left w:val="nil"/>
              <w:bottom w:val="nil"/>
              <w:right w:val="nil"/>
            </w:tcBorders>
          </w:tcPr>
          <w:p w14:paraId="5674C71F" w14:textId="77777777" w:rsidR="00B47B2C" w:rsidRPr="008D0300" w:rsidRDefault="00B47B2C" w:rsidP="000047E6">
            <w:pPr>
              <w:jc w:val="right"/>
              <w:rPr>
                <w:rFonts w:ascii="Arial" w:hAnsi="Arial" w:cs="Arial"/>
                <w:sz w:val="22"/>
                <w:szCs w:val="22"/>
              </w:rPr>
            </w:pPr>
          </w:p>
        </w:tc>
        <w:tc>
          <w:tcPr>
            <w:tcW w:w="1596" w:type="dxa"/>
            <w:tcBorders>
              <w:top w:val="nil"/>
              <w:left w:val="nil"/>
              <w:bottom w:val="nil"/>
              <w:right w:val="nil"/>
            </w:tcBorders>
          </w:tcPr>
          <w:p w14:paraId="5907D856" w14:textId="77777777" w:rsidR="00B47B2C" w:rsidRPr="008D0300" w:rsidRDefault="00B47B2C" w:rsidP="000047E6">
            <w:pPr>
              <w:jc w:val="right"/>
              <w:rPr>
                <w:rFonts w:ascii="Arial" w:hAnsi="Arial" w:cs="Arial"/>
                <w:sz w:val="22"/>
                <w:szCs w:val="22"/>
              </w:rPr>
            </w:pPr>
            <w:r>
              <w:rPr>
                <w:rFonts w:ascii="Arial" w:hAnsi="Arial" w:cs="Arial"/>
                <w:sz w:val="22"/>
                <w:szCs w:val="22"/>
              </w:rPr>
              <w:t>$1,993,031</w:t>
            </w:r>
          </w:p>
        </w:tc>
        <w:tc>
          <w:tcPr>
            <w:tcW w:w="165" w:type="dxa"/>
            <w:tcBorders>
              <w:top w:val="nil"/>
              <w:left w:val="nil"/>
              <w:bottom w:val="nil"/>
              <w:right w:val="nil"/>
            </w:tcBorders>
          </w:tcPr>
          <w:p w14:paraId="1D03408C" w14:textId="77777777" w:rsidR="00B47B2C" w:rsidRPr="008D0300" w:rsidRDefault="00B47B2C" w:rsidP="000047E6">
            <w:pPr>
              <w:jc w:val="right"/>
              <w:rPr>
                <w:rFonts w:ascii="Arial" w:hAnsi="Arial" w:cs="Arial"/>
                <w:sz w:val="22"/>
                <w:szCs w:val="22"/>
              </w:rPr>
            </w:pPr>
          </w:p>
        </w:tc>
        <w:tc>
          <w:tcPr>
            <w:tcW w:w="1514" w:type="dxa"/>
            <w:tcBorders>
              <w:top w:val="nil"/>
              <w:left w:val="nil"/>
              <w:bottom w:val="nil"/>
              <w:right w:val="nil"/>
            </w:tcBorders>
            <w:tcMar>
              <w:top w:w="72" w:type="dxa"/>
              <w:bottom w:w="72" w:type="dxa"/>
            </w:tcMar>
          </w:tcPr>
          <w:p w14:paraId="20D00484" w14:textId="77777777" w:rsidR="00B47B2C" w:rsidRDefault="00B47B2C" w:rsidP="000047E6">
            <w:pPr>
              <w:jc w:val="right"/>
              <w:rPr>
                <w:rFonts w:ascii="Arial" w:hAnsi="Arial" w:cs="Arial"/>
                <w:sz w:val="22"/>
                <w:szCs w:val="22"/>
              </w:rPr>
            </w:pPr>
            <w:r>
              <w:rPr>
                <w:rFonts w:ascii="Arial" w:hAnsi="Arial" w:cs="Arial"/>
                <w:sz w:val="22"/>
                <w:szCs w:val="22"/>
              </w:rPr>
              <w:t>$271,118</w:t>
            </w:r>
          </w:p>
        </w:tc>
        <w:tc>
          <w:tcPr>
            <w:tcW w:w="161" w:type="dxa"/>
            <w:tcBorders>
              <w:top w:val="nil"/>
              <w:left w:val="nil"/>
              <w:bottom w:val="nil"/>
              <w:right w:val="nil"/>
            </w:tcBorders>
          </w:tcPr>
          <w:p w14:paraId="674A04A2" w14:textId="77777777" w:rsidR="00B47B2C" w:rsidRPr="008D0300" w:rsidRDefault="00B47B2C" w:rsidP="000047E6">
            <w:pPr>
              <w:jc w:val="right"/>
              <w:rPr>
                <w:rFonts w:ascii="Arial" w:hAnsi="Arial" w:cs="Arial"/>
                <w:sz w:val="22"/>
                <w:szCs w:val="22"/>
              </w:rPr>
            </w:pPr>
          </w:p>
        </w:tc>
        <w:tc>
          <w:tcPr>
            <w:tcW w:w="896" w:type="dxa"/>
            <w:tcBorders>
              <w:top w:val="nil"/>
              <w:left w:val="nil"/>
              <w:bottom w:val="nil"/>
              <w:right w:val="nil"/>
            </w:tcBorders>
            <w:tcMar>
              <w:top w:w="72" w:type="dxa"/>
              <w:bottom w:w="72" w:type="dxa"/>
            </w:tcMar>
          </w:tcPr>
          <w:p w14:paraId="1DA09C09" w14:textId="77777777" w:rsidR="00B47B2C" w:rsidRDefault="00B47B2C" w:rsidP="000047E6">
            <w:pPr>
              <w:jc w:val="right"/>
              <w:rPr>
                <w:rFonts w:ascii="Arial" w:hAnsi="Arial" w:cs="Arial"/>
                <w:sz w:val="22"/>
                <w:szCs w:val="22"/>
              </w:rPr>
            </w:pPr>
            <w:r>
              <w:rPr>
                <w:rFonts w:ascii="Arial" w:hAnsi="Arial" w:cs="Arial"/>
                <w:sz w:val="22"/>
                <w:szCs w:val="22"/>
              </w:rPr>
              <w:t>0.0</w:t>
            </w:r>
          </w:p>
        </w:tc>
        <w:tc>
          <w:tcPr>
            <w:tcW w:w="196" w:type="dxa"/>
            <w:tcBorders>
              <w:top w:val="nil"/>
              <w:left w:val="nil"/>
              <w:bottom w:val="nil"/>
              <w:right w:val="nil"/>
            </w:tcBorders>
          </w:tcPr>
          <w:p w14:paraId="358ECF4D" w14:textId="77777777" w:rsidR="00B47B2C" w:rsidRPr="008D0300" w:rsidRDefault="00B47B2C" w:rsidP="000047E6">
            <w:pPr>
              <w:jc w:val="right"/>
              <w:rPr>
                <w:rFonts w:ascii="Arial" w:hAnsi="Arial" w:cs="Arial"/>
                <w:sz w:val="22"/>
                <w:szCs w:val="22"/>
              </w:rPr>
            </w:pPr>
          </w:p>
        </w:tc>
        <w:tc>
          <w:tcPr>
            <w:tcW w:w="932" w:type="dxa"/>
            <w:gridSpan w:val="2"/>
            <w:tcBorders>
              <w:top w:val="nil"/>
              <w:left w:val="nil"/>
              <w:bottom w:val="nil"/>
              <w:right w:val="single" w:sz="2" w:space="0" w:color="FFFFFF" w:themeColor="background1"/>
            </w:tcBorders>
            <w:tcMar>
              <w:top w:w="72" w:type="dxa"/>
              <w:left w:w="115" w:type="dxa"/>
              <w:bottom w:w="72" w:type="dxa"/>
              <w:right w:w="115" w:type="dxa"/>
            </w:tcMar>
          </w:tcPr>
          <w:p w14:paraId="42B38222" w14:textId="77777777" w:rsidR="00B47B2C" w:rsidRPr="008D0300" w:rsidRDefault="00B47B2C" w:rsidP="000047E6">
            <w:pPr>
              <w:jc w:val="right"/>
              <w:rPr>
                <w:rFonts w:ascii="Arial" w:hAnsi="Arial" w:cs="Arial"/>
                <w:sz w:val="22"/>
                <w:szCs w:val="22"/>
              </w:rPr>
            </w:pPr>
            <w:r>
              <w:rPr>
                <w:rFonts w:ascii="Arial" w:hAnsi="Arial" w:cs="Arial"/>
                <w:sz w:val="22"/>
                <w:szCs w:val="22"/>
              </w:rPr>
              <w:t>0.0</w:t>
            </w:r>
          </w:p>
        </w:tc>
      </w:tr>
      <w:tr w:rsidR="00B47B2C" w:rsidRPr="008D0300" w14:paraId="04941ED1" w14:textId="77777777" w:rsidTr="000047E6">
        <w:trPr>
          <w:cantSplit/>
          <w:trHeight w:val="369"/>
          <w:jc w:val="center"/>
        </w:trPr>
        <w:tc>
          <w:tcPr>
            <w:tcW w:w="3840" w:type="dxa"/>
            <w:tcBorders>
              <w:top w:val="nil"/>
              <w:left w:val="nil"/>
              <w:bottom w:val="nil"/>
              <w:right w:val="nil"/>
            </w:tcBorders>
            <w:tcMar>
              <w:top w:w="72" w:type="dxa"/>
              <w:left w:w="115" w:type="dxa"/>
              <w:bottom w:w="72" w:type="dxa"/>
              <w:right w:w="115" w:type="dxa"/>
            </w:tcMar>
          </w:tcPr>
          <w:p w14:paraId="7C735C5C" w14:textId="77777777" w:rsidR="00B47B2C" w:rsidRDefault="00B47B2C" w:rsidP="000047E6">
            <w:pPr>
              <w:ind w:left="240"/>
              <w:rPr>
                <w:rFonts w:ascii="Arial" w:hAnsi="Arial" w:cs="Arial"/>
                <w:sz w:val="22"/>
                <w:szCs w:val="22"/>
              </w:rPr>
            </w:pPr>
            <w:r>
              <w:rPr>
                <w:rFonts w:ascii="Arial" w:hAnsi="Arial" w:cs="Arial"/>
                <w:sz w:val="22"/>
                <w:szCs w:val="22"/>
              </w:rPr>
              <w:t>2023-2024 Decision Packages</w:t>
            </w:r>
          </w:p>
        </w:tc>
        <w:tc>
          <w:tcPr>
            <w:tcW w:w="180" w:type="dxa"/>
            <w:tcBorders>
              <w:top w:val="nil"/>
              <w:left w:val="nil"/>
              <w:bottom w:val="nil"/>
              <w:right w:val="nil"/>
            </w:tcBorders>
          </w:tcPr>
          <w:p w14:paraId="70AB35C5" w14:textId="77777777" w:rsidR="00B47B2C" w:rsidRPr="008D0300" w:rsidRDefault="00B47B2C" w:rsidP="000047E6">
            <w:pPr>
              <w:jc w:val="right"/>
              <w:rPr>
                <w:rFonts w:ascii="Arial" w:hAnsi="Arial" w:cs="Arial"/>
                <w:sz w:val="22"/>
                <w:szCs w:val="22"/>
              </w:rPr>
            </w:pPr>
          </w:p>
        </w:tc>
        <w:tc>
          <w:tcPr>
            <w:tcW w:w="1596" w:type="dxa"/>
            <w:tcBorders>
              <w:top w:val="nil"/>
              <w:left w:val="nil"/>
              <w:bottom w:val="nil"/>
              <w:right w:val="nil"/>
            </w:tcBorders>
          </w:tcPr>
          <w:p w14:paraId="733ACC9C" w14:textId="77777777" w:rsidR="00B47B2C" w:rsidRPr="008D0300" w:rsidRDefault="00B47B2C" w:rsidP="000047E6">
            <w:pPr>
              <w:jc w:val="right"/>
              <w:rPr>
                <w:rFonts w:ascii="Arial" w:hAnsi="Arial" w:cs="Arial"/>
                <w:sz w:val="22"/>
                <w:szCs w:val="22"/>
              </w:rPr>
            </w:pPr>
            <w:r>
              <w:rPr>
                <w:rFonts w:ascii="Arial" w:hAnsi="Arial" w:cs="Arial"/>
                <w:sz w:val="22"/>
                <w:szCs w:val="22"/>
              </w:rPr>
              <w:t>$775,556</w:t>
            </w:r>
          </w:p>
        </w:tc>
        <w:tc>
          <w:tcPr>
            <w:tcW w:w="165" w:type="dxa"/>
            <w:tcBorders>
              <w:top w:val="nil"/>
              <w:left w:val="nil"/>
              <w:bottom w:val="nil"/>
              <w:right w:val="nil"/>
            </w:tcBorders>
          </w:tcPr>
          <w:p w14:paraId="31C87B3A" w14:textId="77777777" w:rsidR="00B47B2C" w:rsidRPr="008D0300" w:rsidRDefault="00B47B2C" w:rsidP="000047E6">
            <w:pPr>
              <w:jc w:val="right"/>
              <w:rPr>
                <w:rFonts w:ascii="Arial" w:hAnsi="Arial" w:cs="Arial"/>
                <w:sz w:val="22"/>
                <w:szCs w:val="22"/>
              </w:rPr>
            </w:pPr>
          </w:p>
        </w:tc>
        <w:tc>
          <w:tcPr>
            <w:tcW w:w="1514" w:type="dxa"/>
            <w:tcBorders>
              <w:top w:val="nil"/>
              <w:left w:val="nil"/>
              <w:bottom w:val="nil"/>
              <w:right w:val="nil"/>
            </w:tcBorders>
            <w:tcMar>
              <w:top w:w="72" w:type="dxa"/>
              <w:bottom w:w="72" w:type="dxa"/>
            </w:tcMar>
          </w:tcPr>
          <w:p w14:paraId="732C31F7" w14:textId="77777777" w:rsidR="00B47B2C" w:rsidRDefault="00B47B2C" w:rsidP="000047E6">
            <w:pPr>
              <w:jc w:val="right"/>
              <w:rPr>
                <w:rFonts w:ascii="Arial" w:hAnsi="Arial" w:cs="Arial"/>
                <w:sz w:val="22"/>
                <w:szCs w:val="22"/>
              </w:rPr>
            </w:pPr>
            <w:r>
              <w:rPr>
                <w:rFonts w:ascii="Arial" w:hAnsi="Arial" w:cs="Arial"/>
                <w:sz w:val="22"/>
                <w:szCs w:val="22"/>
              </w:rPr>
              <w:t>$3,065,462</w:t>
            </w:r>
          </w:p>
        </w:tc>
        <w:tc>
          <w:tcPr>
            <w:tcW w:w="161" w:type="dxa"/>
            <w:tcBorders>
              <w:top w:val="nil"/>
              <w:left w:val="nil"/>
              <w:bottom w:val="nil"/>
              <w:right w:val="nil"/>
            </w:tcBorders>
          </w:tcPr>
          <w:p w14:paraId="0185BF07" w14:textId="77777777" w:rsidR="00B47B2C" w:rsidRPr="008D0300" w:rsidRDefault="00B47B2C" w:rsidP="000047E6">
            <w:pPr>
              <w:jc w:val="right"/>
              <w:rPr>
                <w:rFonts w:ascii="Arial" w:hAnsi="Arial" w:cs="Arial"/>
                <w:sz w:val="22"/>
                <w:szCs w:val="22"/>
              </w:rPr>
            </w:pPr>
          </w:p>
        </w:tc>
        <w:tc>
          <w:tcPr>
            <w:tcW w:w="896" w:type="dxa"/>
            <w:tcBorders>
              <w:top w:val="nil"/>
              <w:left w:val="nil"/>
              <w:bottom w:val="nil"/>
              <w:right w:val="nil"/>
            </w:tcBorders>
            <w:tcMar>
              <w:top w:w="72" w:type="dxa"/>
              <w:bottom w:w="72" w:type="dxa"/>
            </w:tcMar>
          </w:tcPr>
          <w:p w14:paraId="02FE3169" w14:textId="77777777" w:rsidR="00B47B2C" w:rsidRDefault="00B47B2C" w:rsidP="000047E6">
            <w:pPr>
              <w:jc w:val="right"/>
              <w:rPr>
                <w:rFonts w:ascii="Arial" w:hAnsi="Arial" w:cs="Arial"/>
                <w:sz w:val="22"/>
                <w:szCs w:val="22"/>
              </w:rPr>
            </w:pPr>
            <w:r>
              <w:rPr>
                <w:rFonts w:ascii="Arial" w:hAnsi="Arial" w:cs="Arial"/>
                <w:sz w:val="22"/>
                <w:szCs w:val="22"/>
              </w:rPr>
              <w:t xml:space="preserve">7.2 </w:t>
            </w:r>
          </w:p>
        </w:tc>
        <w:tc>
          <w:tcPr>
            <w:tcW w:w="196" w:type="dxa"/>
            <w:tcBorders>
              <w:top w:val="nil"/>
              <w:left w:val="nil"/>
              <w:bottom w:val="nil"/>
              <w:right w:val="nil"/>
            </w:tcBorders>
          </w:tcPr>
          <w:p w14:paraId="6CBA2FA8" w14:textId="77777777" w:rsidR="00B47B2C" w:rsidRPr="008D0300" w:rsidRDefault="00B47B2C" w:rsidP="000047E6">
            <w:pPr>
              <w:jc w:val="right"/>
              <w:rPr>
                <w:rFonts w:ascii="Arial" w:hAnsi="Arial" w:cs="Arial"/>
                <w:sz w:val="22"/>
                <w:szCs w:val="22"/>
              </w:rPr>
            </w:pPr>
          </w:p>
        </w:tc>
        <w:tc>
          <w:tcPr>
            <w:tcW w:w="932" w:type="dxa"/>
            <w:gridSpan w:val="2"/>
            <w:tcBorders>
              <w:top w:val="nil"/>
              <w:left w:val="nil"/>
              <w:bottom w:val="nil"/>
              <w:right w:val="single" w:sz="2" w:space="0" w:color="FFFFFF" w:themeColor="background1"/>
            </w:tcBorders>
            <w:tcMar>
              <w:top w:w="72" w:type="dxa"/>
              <w:left w:w="115" w:type="dxa"/>
              <w:bottom w:w="72" w:type="dxa"/>
              <w:right w:w="115" w:type="dxa"/>
            </w:tcMar>
          </w:tcPr>
          <w:p w14:paraId="3DC3334E" w14:textId="77777777" w:rsidR="00B47B2C" w:rsidRDefault="00B47B2C" w:rsidP="000047E6">
            <w:pPr>
              <w:jc w:val="right"/>
              <w:rPr>
                <w:rFonts w:ascii="Arial" w:hAnsi="Arial" w:cs="Arial"/>
                <w:sz w:val="22"/>
                <w:szCs w:val="22"/>
              </w:rPr>
            </w:pPr>
            <w:r>
              <w:rPr>
                <w:rFonts w:ascii="Arial" w:hAnsi="Arial" w:cs="Arial"/>
                <w:sz w:val="22"/>
                <w:szCs w:val="22"/>
              </w:rPr>
              <w:t>1.0</w:t>
            </w:r>
          </w:p>
        </w:tc>
      </w:tr>
      <w:tr w:rsidR="00B47B2C" w:rsidRPr="008D0300" w14:paraId="05E5546A" w14:textId="77777777" w:rsidTr="000047E6">
        <w:trPr>
          <w:cantSplit/>
          <w:jc w:val="center"/>
        </w:trPr>
        <w:tc>
          <w:tcPr>
            <w:tcW w:w="3840" w:type="dxa"/>
            <w:tcBorders>
              <w:top w:val="single" w:sz="4" w:space="0" w:color="auto"/>
              <w:left w:val="nil"/>
              <w:bottom w:val="nil"/>
              <w:right w:val="nil"/>
            </w:tcBorders>
            <w:tcMar>
              <w:top w:w="72" w:type="dxa"/>
              <w:left w:w="115" w:type="dxa"/>
              <w:bottom w:w="72" w:type="dxa"/>
              <w:right w:w="115" w:type="dxa"/>
            </w:tcMar>
          </w:tcPr>
          <w:p w14:paraId="416EE57C" w14:textId="77777777" w:rsidR="00B47B2C" w:rsidRPr="008D0300" w:rsidRDefault="00B47B2C" w:rsidP="000047E6">
            <w:pPr>
              <w:rPr>
                <w:rFonts w:ascii="Arial" w:hAnsi="Arial" w:cs="Arial"/>
                <w:b/>
                <w:sz w:val="22"/>
                <w:szCs w:val="22"/>
              </w:rPr>
            </w:pPr>
            <w:r>
              <w:rPr>
                <w:rFonts w:ascii="Arial" w:hAnsi="Arial" w:cs="Arial"/>
                <w:b/>
                <w:sz w:val="22"/>
                <w:szCs w:val="22"/>
              </w:rPr>
              <w:t>2023-2024 Proposed Budget</w:t>
            </w:r>
          </w:p>
        </w:tc>
        <w:tc>
          <w:tcPr>
            <w:tcW w:w="180" w:type="dxa"/>
            <w:tcBorders>
              <w:top w:val="nil"/>
              <w:left w:val="nil"/>
              <w:bottom w:val="nil"/>
              <w:right w:val="nil"/>
            </w:tcBorders>
          </w:tcPr>
          <w:p w14:paraId="56668A4E" w14:textId="77777777" w:rsidR="00B47B2C" w:rsidRPr="008D0300" w:rsidRDefault="00B47B2C" w:rsidP="000047E6">
            <w:pPr>
              <w:jc w:val="right"/>
              <w:rPr>
                <w:rFonts w:ascii="Arial" w:hAnsi="Arial" w:cs="Arial"/>
                <w:sz w:val="22"/>
                <w:szCs w:val="22"/>
              </w:rPr>
            </w:pPr>
          </w:p>
        </w:tc>
        <w:tc>
          <w:tcPr>
            <w:tcW w:w="1596" w:type="dxa"/>
            <w:tcBorders>
              <w:top w:val="single" w:sz="4" w:space="0" w:color="auto"/>
              <w:left w:val="nil"/>
              <w:bottom w:val="nil"/>
              <w:right w:val="nil"/>
            </w:tcBorders>
          </w:tcPr>
          <w:p w14:paraId="36D4BE62" w14:textId="77777777" w:rsidR="00B47B2C" w:rsidRPr="008D0300" w:rsidRDefault="00B47B2C" w:rsidP="000047E6">
            <w:pPr>
              <w:jc w:val="right"/>
              <w:rPr>
                <w:rFonts w:ascii="Arial" w:hAnsi="Arial" w:cs="Arial"/>
                <w:sz w:val="22"/>
                <w:szCs w:val="22"/>
              </w:rPr>
            </w:pPr>
            <w:r>
              <w:rPr>
                <w:rFonts w:ascii="Arial" w:hAnsi="Arial" w:cs="Arial"/>
                <w:b/>
                <w:sz w:val="22"/>
                <w:szCs w:val="22"/>
              </w:rPr>
              <w:t>$35,202,000</w:t>
            </w:r>
          </w:p>
        </w:tc>
        <w:tc>
          <w:tcPr>
            <w:tcW w:w="165" w:type="dxa"/>
            <w:tcBorders>
              <w:top w:val="nil"/>
              <w:left w:val="nil"/>
              <w:bottom w:val="nil"/>
              <w:right w:val="nil"/>
            </w:tcBorders>
          </w:tcPr>
          <w:p w14:paraId="1A988C99" w14:textId="77777777" w:rsidR="00B47B2C" w:rsidRPr="008D0300" w:rsidRDefault="00B47B2C" w:rsidP="000047E6">
            <w:pPr>
              <w:jc w:val="right"/>
              <w:rPr>
                <w:rFonts w:ascii="Arial" w:hAnsi="Arial" w:cs="Arial"/>
                <w:sz w:val="22"/>
                <w:szCs w:val="22"/>
              </w:rPr>
            </w:pPr>
          </w:p>
        </w:tc>
        <w:tc>
          <w:tcPr>
            <w:tcW w:w="1514" w:type="dxa"/>
            <w:tcBorders>
              <w:top w:val="single" w:sz="2" w:space="0" w:color="auto"/>
              <w:left w:val="nil"/>
              <w:bottom w:val="nil"/>
              <w:right w:val="nil"/>
            </w:tcBorders>
            <w:tcMar>
              <w:top w:w="72" w:type="dxa"/>
              <w:bottom w:w="72" w:type="dxa"/>
            </w:tcMar>
          </w:tcPr>
          <w:p w14:paraId="695678A3" w14:textId="77777777" w:rsidR="00B47B2C" w:rsidRPr="00B33952" w:rsidRDefault="00B47B2C" w:rsidP="000047E6">
            <w:pPr>
              <w:jc w:val="right"/>
              <w:rPr>
                <w:rFonts w:ascii="Arial" w:hAnsi="Arial" w:cs="Arial"/>
                <w:b/>
                <w:sz w:val="22"/>
                <w:szCs w:val="22"/>
              </w:rPr>
            </w:pPr>
            <w:r>
              <w:rPr>
                <w:rFonts w:ascii="Arial" w:hAnsi="Arial" w:cs="Arial"/>
                <w:b/>
                <w:sz w:val="22"/>
                <w:szCs w:val="22"/>
              </w:rPr>
              <w:t>$35,202,000</w:t>
            </w:r>
          </w:p>
        </w:tc>
        <w:tc>
          <w:tcPr>
            <w:tcW w:w="161" w:type="dxa"/>
            <w:tcBorders>
              <w:top w:val="nil"/>
              <w:left w:val="nil"/>
              <w:bottom w:val="nil"/>
              <w:right w:val="nil"/>
            </w:tcBorders>
          </w:tcPr>
          <w:p w14:paraId="355EE1C1" w14:textId="77777777" w:rsidR="00B47B2C" w:rsidRPr="00B33952" w:rsidRDefault="00B47B2C" w:rsidP="000047E6">
            <w:pPr>
              <w:jc w:val="right"/>
              <w:rPr>
                <w:rFonts w:ascii="Arial" w:hAnsi="Arial" w:cs="Arial"/>
                <w:b/>
                <w:sz w:val="22"/>
                <w:szCs w:val="22"/>
              </w:rPr>
            </w:pPr>
          </w:p>
        </w:tc>
        <w:tc>
          <w:tcPr>
            <w:tcW w:w="896" w:type="dxa"/>
            <w:tcBorders>
              <w:top w:val="single" w:sz="2" w:space="0" w:color="auto"/>
              <w:left w:val="nil"/>
              <w:bottom w:val="nil"/>
              <w:right w:val="single" w:sz="2" w:space="0" w:color="FFFFFF" w:themeColor="background1"/>
            </w:tcBorders>
            <w:tcMar>
              <w:top w:w="72" w:type="dxa"/>
              <w:bottom w:w="72" w:type="dxa"/>
            </w:tcMar>
          </w:tcPr>
          <w:p w14:paraId="1407691B" w14:textId="77777777" w:rsidR="00B47B2C" w:rsidRPr="00B33952" w:rsidRDefault="00B47B2C" w:rsidP="000047E6">
            <w:pPr>
              <w:jc w:val="right"/>
              <w:rPr>
                <w:rFonts w:ascii="Arial" w:hAnsi="Arial" w:cs="Arial"/>
                <w:b/>
                <w:sz w:val="22"/>
                <w:szCs w:val="22"/>
              </w:rPr>
            </w:pPr>
            <w:r>
              <w:rPr>
                <w:rFonts w:ascii="Arial" w:hAnsi="Arial" w:cs="Arial"/>
                <w:b/>
                <w:sz w:val="22"/>
                <w:szCs w:val="22"/>
              </w:rPr>
              <w:t>82.2</w:t>
            </w:r>
          </w:p>
        </w:tc>
        <w:tc>
          <w:tcPr>
            <w:tcW w:w="196" w:type="dxa"/>
            <w:tcBorders>
              <w:top w:val="nil"/>
              <w:left w:val="single" w:sz="2" w:space="0" w:color="FFFFFF" w:themeColor="background1"/>
              <w:bottom w:val="nil"/>
              <w:right w:val="single" w:sz="2" w:space="0" w:color="FFFFFF" w:themeColor="background1"/>
            </w:tcBorders>
          </w:tcPr>
          <w:p w14:paraId="7B57E8ED" w14:textId="77777777" w:rsidR="00B47B2C" w:rsidRPr="00B33952" w:rsidRDefault="00B47B2C" w:rsidP="000047E6">
            <w:pPr>
              <w:jc w:val="right"/>
              <w:rPr>
                <w:rFonts w:ascii="Arial" w:hAnsi="Arial" w:cs="Arial"/>
                <w:b/>
                <w:sz w:val="22"/>
                <w:szCs w:val="22"/>
              </w:rPr>
            </w:pPr>
          </w:p>
        </w:tc>
        <w:tc>
          <w:tcPr>
            <w:tcW w:w="932" w:type="dxa"/>
            <w:gridSpan w:val="2"/>
            <w:tcBorders>
              <w:top w:val="single" w:sz="2" w:space="0" w:color="auto"/>
              <w:left w:val="single" w:sz="2" w:space="0" w:color="FFFFFF" w:themeColor="background1"/>
              <w:bottom w:val="nil"/>
              <w:right w:val="single" w:sz="2" w:space="0" w:color="FFFFFF" w:themeColor="background1"/>
            </w:tcBorders>
            <w:tcMar>
              <w:top w:w="72" w:type="dxa"/>
              <w:left w:w="115" w:type="dxa"/>
              <w:bottom w:w="72" w:type="dxa"/>
              <w:right w:w="115" w:type="dxa"/>
            </w:tcMar>
          </w:tcPr>
          <w:p w14:paraId="768FCE2C" w14:textId="77777777" w:rsidR="00B47B2C" w:rsidRPr="00B33952" w:rsidRDefault="00B47B2C" w:rsidP="000047E6">
            <w:pPr>
              <w:jc w:val="right"/>
              <w:rPr>
                <w:rFonts w:ascii="Arial" w:hAnsi="Arial" w:cs="Arial"/>
                <w:b/>
                <w:sz w:val="22"/>
                <w:szCs w:val="22"/>
              </w:rPr>
            </w:pPr>
            <w:r>
              <w:rPr>
                <w:rFonts w:ascii="Arial" w:hAnsi="Arial" w:cs="Arial"/>
                <w:b/>
                <w:sz w:val="22"/>
                <w:szCs w:val="22"/>
              </w:rPr>
              <w:t>1.0</w:t>
            </w:r>
          </w:p>
        </w:tc>
      </w:tr>
      <w:tr w:rsidR="00B47B2C" w:rsidRPr="008D0300" w14:paraId="42B13EE3" w14:textId="77777777" w:rsidTr="000047E6">
        <w:trPr>
          <w:cantSplit/>
          <w:trHeight w:val="261"/>
          <w:jc w:val="center"/>
        </w:trPr>
        <w:tc>
          <w:tcPr>
            <w:tcW w:w="3840" w:type="dxa"/>
            <w:tcBorders>
              <w:top w:val="nil"/>
              <w:left w:val="nil"/>
              <w:bottom w:val="nil"/>
              <w:right w:val="nil"/>
            </w:tcBorders>
            <w:tcMar>
              <w:top w:w="72" w:type="dxa"/>
              <w:left w:w="115" w:type="dxa"/>
              <w:bottom w:w="72" w:type="dxa"/>
              <w:right w:w="115" w:type="dxa"/>
            </w:tcMar>
          </w:tcPr>
          <w:p w14:paraId="49E425AC" w14:textId="77777777" w:rsidR="00B47B2C" w:rsidRPr="00A27DEA" w:rsidRDefault="00B47B2C" w:rsidP="000047E6">
            <w:pPr>
              <w:rPr>
                <w:rFonts w:ascii="Arial" w:hAnsi="Arial" w:cs="Arial"/>
                <w:sz w:val="22"/>
                <w:szCs w:val="22"/>
              </w:rPr>
            </w:pPr>
            <w:r>
              <w:rPr>
                <w:rFonts w:ascii="Arial" w:hAnsi="Arial" w:cs="Arial"/>
                <w:sz w:val="22"/>
                <w:szCs w:val="22"/>
              </w:rPr>
              <w:t>% Change from prior biennium</w:t>
            </w:r>
          </w:p>
        </w:tc>
        <w:tc>
          <w:tcPr>
            <w:tcW w:w="180" w:type="dxa"/>
            <w:tcBorders>
              <w:top w:val="nil"/>
              <w:left w:val="nil"/>
              <w:bottom w:val="nil"/>
              <w:right w:val="nil"/>
            </w:tcBorders>
          </w:tcPr>
          <w:p w14:paraId="5086160B" w14:textId="77777777" w:rsidR="00B47B2C" w:rsidRPr="008D0300" w:rsidRDefault="00B47B2C" w:rsidP="000047E6">
            <w:pPr>
              <w:jc w:val="right"/>
              <w:rPr>
                <w:rFonts w:ascii="Arial" w:hAnsi="Arial" w:cs="Arial"/>
                <w:sz w:val="22"/>
                <w:szCs w:val="22"/>
              </w:rPr>
            </w:pPr>
          </w:p>
        </w:tc>
        <w:tc>
          <w:tcPr>
            <w:tcW w:w="1596" w:type="dxa"/>
            <w:tcBorders>
              <w:top w:val="nil"/>
              <w:left w:val="nil"/>
              <w:bottom w:val="nil"/>
              <w:right w:val="nil"/>
            </w:tcBorders>
          </w:tcPr>
          <w:p w14:paraId="430886AD" w14:textId="77777777" w:rsidR="00B47B2C" w:rsidRPr="0046704C" w:rsidRDefault="00B47B2C" w:rsidP="000047E6">
            <w:pPr>
              <w:jc w:val="right"/>
              <w:rPr>
                <w:rFonts w:ascii="Arial" w:hAnsi="Arial" w:cs="Arial"/>
                <w:sz w:val="22"/>
                <w:szCs w:val="22"/>
              </w:rPr>
            </w:pPr>
            <w:r>
              <w:rPr>
                <w:rFonts w:ascii="Arial" w:hAnsi="Arial" w:cs="Arial"/>
                <w:sz w:val="22"/>
                <w:szCs w:val="22"/>
              </w:rPr>
              <w:t>8.53%</w:t>
            </w:r>
          </w:p>
        </w:tc>
        <w:tc>
          <w:tcPr>
            <w:tcW w:w="165" w:type="dxa"/>
            <w:tcBorders>
              <w:top w:val="nil"/>
              <w:left w:val="nil"/>
              <w:bottom w:val="nil"/>
              <w:right w:val="nil"/>
            </w:tcBorders>
          </w:tcPr>
          <w:p w14:paraId="39237D28" w14:textId="77777777" w:rsidR="00B47B2C" w:rsidRPr="0046704C" w:rsidRDefault="00B47B2C" w:rsidP="000047E6">
            <w:pPr>
              <w:jc w:val="right"/>
              <w:rPr>
                <w:rFonts w:ascii="Arial" w:hAnsi="Arial" w:cs="Arial"/>
                <w:sz w:val="22"/>
                <w:szCs w:val="22"/>
              </w:rPr>
            </w:pPr>
          </w:p>
        </w:tc>
        <w:tc>
          <w:tcPr>
            <w:tcW w:w="1514" w:type="dxa"/>
            <w:tcBorders>
              <w:top w:val="nil"/>
              <w:left w:val="nil"/>
              <w:bottom w:val="nil"/>
              <w:right w:val="nil"/>
            </w:tcBorders>
            <w:tcMar>
              <w:top w:w="72" w:type="dxa"/>
              <w:bottom w:w="72" w:type="dxa"/>
            </w:tcMar>
          </w:tcPr>
          <w:p w14:paraId="218526FF" w14:textId="77777777" w:rsidR="00B47B2C" w:rsidRPr="0046704C" w:rsidRDefault="00B47B2C" w:rsidP="000047E6">
            <w:pPr>
              <w:jc w:val="right"/>
              <w:rPr>
                <w:rFonts w:ascii="Arial" w:hAnsi="Arial" w:cs="Arial"/>
                <w:sz w:val="22"/>
                <w:szCs w:val="22"/>
              </w:rPr>
            </w:pPr>
          </w:p>
        </w:tc>
        <w:tc>
          <w:tcPr>
            <w:tcW w:w="161" w:type="dxa"/>
            <w:tcBorders>
              <w:top w:val="nil"/>
              <w:left w:val="nil"/>
              <w:bottom w:val="nil"/>
              <w:right w:val="nil"/>
            </w:tcBorders>
          </w:tcPr>
          <w:p w14:paraId="0C35D8B6" w14:textId="77777777" w:rsidR="00B47B2C" w:rsidRPr="0046704C" w:rsidRDefault="00B47B2C" w:rsidP="000047E6">
            <w:pPr>
              <w:jc w:val="right"/>
              <w:rPr>
                <w:rFonts w:ascii="Arial" w:hAnsi="Arial" w:cs="Arial"/>
                <w:sz w:val="22"/>
                <w:szCs w:val="22"/>
              </w:rPr>
            </w:pPr>
          </w:p>
        </w:tc>
        <w:tc>
          <w:tcPr>
            <w:tcW w:w="896" w:type="dxa"/>
            <w:tcBorders>
              <w:top w:val="nil"/>
              <w:left w:val="nil"/>
              <w:bottom w:val="nil"/>
              <w:right w:val="single" w:sz="2" w:space="0" w:color="FFFFFF" w:themeColor="background1"/>
            </w:tcBorders>
            <w:tcMar>
              <w:top w:w="72" w:type="dxa"/>
              <w:bottom w:w="72" w:type="dxa"/>
            </w:tcMar>
          </w:tcPr>
          <w:p w14:paraId="08C769F4" w14:textId="77777777" w:rsidR="00B47B2C" w:rsidRPr="0046704C" w:rsidRDefault="00B47B2C" w:rsidP="000047E6">
            <w:pPr>
              <w:jc w:val="right"/>
              <w:rPr>
                <w:rFonts w:ascii="Arial" w:hAnsi="Arial" w:cs="Arial"/>
                <w:sz w:val="22"/>
                <w:szCs w:val="22"/>
              </w:rPr>
            </w:pPr>
          </w:p>
        </w:tc>
        <w:tc>
          <w:tcPr>
            <w:tcW w:w="196" w:type="dxa"/>
            <w:tcBorders>
              <w:top w:val="nil"/>
              <w:left w:val="single" w:sz="2" w:space="0" w:color="FFFFFF" w:themeColor="background1"/>
              <w:bottom w:val="nil"/>
              <w:right w:val="single" w:sz="2" w:space="0" w:color="FFFFFF" w:themeColor="background1"/>
            </w:tcBorders>
          </w:tcPr>
          <w:p w14:paraId="65387314" w14:textId="77777777" w:rsidR="00B47B2C" w:rsidRPr="0046704C" w:rsidRDefault="00B47B2C" w:rsidP="000047E6">
            <w:pPr>
              <w:jc w:val="right"/>
              <w:rPr>
                <w:rFonts w:ascii="Arial" w:hAnsi="Arial" w:cs="Arial"/>
                <w:sz w:val="22"/>
                <w:szCs w:val="22"/>
              </w:rPr>
            </w:pPr>
          </w:p>
        </w:tc>
        <w:tc>
          <w:tcPr>
            <w:tcW w:w="932" w:type="dxa"/>
            <w:gridSpan w:val="2"/>
            <w:tcBorders>
              <w:top w:val="nil"/>
              <w:left w:val="single" w:sz="2" w:space="0" w:color="FFFFFF" w:themeColor="background1"/>
              <w:bottom w:val="nil"/>
              <w:right w:val="single" w:sz="2" w:space="0" w:color="FFFFFF" w:themeColor="background1"/>
            </w:tcBorders>
            <w:tcMar>
              <w:top w:w="72" w:type="dxa"/>
              <w:left w:w="115" w:type="dxa"/>
              <w:bottom w:w="72" w:type="dxa"/>
              <w:right w:w="115" w:type="dxa"/>
            </w:tcMar>
          </w:tcPr>
          <w:p w14:paraId="41A3C45F" w14:textId="77777777" w:rsidR="00B47B2C" w:rsidRPr="0046704C" w:rsidRDefault="00B47B2C" w:rsidP="000047E6">
            <w:pPr>
              <w:jc w:val="right"/>
              <w:rPr>
                <w:rFonts w:ascii="Arial" w:hAnsi="Arial" w:cs="Arial"/>
                <w:sz w:val="22"/>
                <w:szCs w:val="22"/>
              </w:rPr>
            </w:pPr>
          </w:p>
        </w:tc>
      </w:tr>
      <w:tr w:rsidR="00B47B2C" w:rsidRPr="008D0300" w14:paraId="0EAE05D0" w14:textId="77777777" w:rsidTr="000047E6">
        <w:trPr>
          <w:cantSplit/>
          <w:trHeight w:val="396"/>
          <w:jc w:val="center"/>
        </w:trPr>
        <w:tc>
          <w:tcPr>
            <w:tcW w:w="3840" w:type="dxa"/>
            <w:tcBorders>
              <w:top w:val="nil"/>
              <w:left w:val="nil"/>
              <w:bottom w:val="dotted" w:sz="4" w:space="0" w:color="auto"/>
              <w:right w:val="nil"/>
            </w:tcBorders>
            <w:tcMar>
              <w:top w:w="72" w:type="dxa"/>
              <w:left w:w="115" w:type="dxa"/>
              <w:bottom w:w="72" w:type="dxa"/>
              <w:right w:w="115" w:type="dxa"/>
            </w:tcMar>
          </w:tcPr>
          <w:p w14:paraId="24C66428" w14:textId="77777777" w:rsidR="00B47B2C" w:rsidRPr="00A27DEA" w:rsidRDefault="00B47B2C" w:rsidP="000047E6">
            <w:pPr>
              <w:rPr>
                <w:rFonts w:ascii="Arial" w:hAnsi="Arial" w:cs="Arial"/>
                <w:sz w:val="22"/>
                <w:szCs w:val="22"/>
              </w:rPr>
            </w:pPr>
            <w:r>
              <w:rPr>
                <w:rFonts w:ascii="Arial" w:hAnsi="Arial" w:cs="Arial"/>
                <w:sz w:val="22"/>
                <w:szCs w:val="22"/>
              </w:rPr>
              <w:t>Dec. Pkg. as % of prior biennium</w:t>
            </w:r>
          </w:p>
        </w:tc>
        <w:tc>
          <w:tcPr>
            <w:tcW w:w="180" w:type="dxa"/>
            <w:tcBorders>
              <w:top w:val="nil"/>
              <w:left w:val="nil"/>
              <w:bottom w:val="dotted" w:sz="4" w:space="0" w:color="auto"/>
              <w:right w:val="nil"/>
            </w:tcBorders>
          </w:tcPr>
          <w:p w14:paraId="69FD1644" w14:textId="77777777" w:rsidR="00B47B2C" w:rsidRPr="008D0300" w:rsidRDefault="00B47B2C" w:rsidP="000047E6">
            <w:pPr>
              <w:jc w:val="right"/>
              <w:rPr>
                <w:rFonts w:ascii="Arial" w:hAnsi="Arial" w:cs="Arial"/>
                <w:sz w:val="22"/>
                <w:szCs w:val="22"/>
              </w:rPr>
            </w:pPr>
          </w:p>
        </w:tc>
        <w:tc>
          <w:tcPr>
            <w:tcW w:w="1596" w:type="dxa"/>
            <w:tcBorders>
              <w:top w:val="nil"/>
              <w:left w:val="nil"/>
              <w:bottom w:val="dotted" w:sz="4" w:space="0" w:color="auto"/>
              <w:right w:val="nil"/>
            </w:tcBorders>
          </w:tcPr>
          <w:p w14:paraId="2D4C1056" w14:textId="77777777" w:rsidR="00B47B2C" w:rsidRPr="0046704C" w:rsidRDefault="00B47B2C" w:rsidP="000047E6">
            <w:pPr>
              <w:jc w:val="right"/>
              <w:rPr>
                <w:rFonts w:ascii="Arial" w:hAnsi="Arial" w:cs="Arial"/>
                <w:sz w:val="22"/>
                <w:szCs w:val="22"/>
              </w:rPr>
            </w:pPr>
            <w:r>
              <w:rPr>
                <w:rFonts w:ascii="Arial" w:hAnsi="Arial" w:cs="Arial"/>
                <w:sz w:val="22"/>
                <w:szCs w:val="22"/>
              </w:rPr>
              <w:t>2.39%</w:t>
            </w:r>
          </w:p>
        </w:tc>
        <w:tc>
          <w:tcPr>
            <w:tcW w:w="165" w:type="dxa"/>
            <w:tcBorders>
              <w:top w:val="nil"/>
              <w:left w:val="nil"/>
              <w:bottom w:val="dotted" w:sz="4" w:space="0" w:color="auto"/>
              <w:right w:val="nil"/>
            </w:tcBorders>
          </w:tcPr>
          <w:p w14:paraId="5A1B80B7" w14:textId="77777777" w:rsidR="00B47B2C" w:rsidRPr="0046704C" w:rsidRDefault="00B47B2C" w:rsidP="000047E6">
            <w:pPr>
              <w:jc w:val="right"/>
              <w:rPr>
                <w:rFonts w:ascii="Arial" w:hAnsi="Arial" w:cs="Arial"/>
                <w:sz w:val="22"/>
                <w:szCs w:val="22"/>
              </w:rPr>
            </w:pPr>
          </w:p>
        </w:tc>
        <w:tc>
          <w:tcPr>
            <w:tcW w:w="1514" w:type="dxa"/>
            <w:tcBorders>
              <w:top w:val="nil"/>
              <w:left w:val="nil"/>
              <w:bottom w:val="dotted" w:sz="4" w:space="0" w:color="auto"/>
              <w:right w:val="nil"/>
            </w:tcBorders>
            <w:tcMar>
              <w:top w:w="72" w:type="dxa"/>
              <w:bottom w:w="72" w:type="dxa"/>
            </w:tcMar>
          </w:tcPr>
          <w:p w14:paraId="6C25E5A3" w14:textId="77777777" w:rsidR="00B47B2C" w:rsidRPr="0046704C" w:rsidRDefault="00B47B2C" w:rsidP="000047E6">
            <w:pPr>
              <w:jc w:val="right"/>
              <w:rPr>
                <w:rFonts w:ascii="Arial" w:hAnsi="Arial" w:cs="Arial"/>
                <w:sz w:val="22"/>
                <w:szCs w:val="22"/>
              </w:rPr>
            </w:pPr>
          </w:p>
        </w:tc>
        <w:tc>
          <w:tcPr>
            <w:tcW w:w="161" w:type="dxa"/>
            <w:tcBorders>
              <w:top w:val="nil"/>
              <w:left w:val="nil"/>
              <w:bottom w:val="dotted" w:sz="4" w:space="0" w:color="auto"/>
              <w:right w:val="nil"/>
            </w:tcBorders>
          </w:tcPr>
          <w:p w14:paraId="04E79368" w14:textId="77777777" w:rsidR="00B47B2C" w:rsidRPr="0046704C" w:rsidRDefault="00B47B2C" w:rsidP="000047E6">
            <w:pPr>
              <w:jc w:val="right"/>
              <w:rPr>
                <w:rFonts w:ascii="Arial" w:hAnsi="Arial" w:cs="Arial"/>
                <w:sz w:val="22"/>
                <w:szCs w:val="22"/>
              </w:rPr>
            </w:pPr>
          </w:p>
        </w:tc>
        <w:tc>
          <w:tcPr>
            <w:tcW w:w="896" w:type="dxa"/>
            <w:tcBorders>
              <w:top w:val="nil"/>
              <w:left w:val="nil"/>
              <w:bottom w:val="dotted" w:sz="4" w:space="0" w:color="auto"/>
              <w:right w:val="single" w:sz="2" w:space="0" w:color="FFFFFF" w:themeColor="background1"/>
            </w:tcBorders>
            <w:tcMar>
              <w:top w:w="72" w:type="dxa"/>
              <w:bottom w:w="72" w:type="dxa"/>
            </w:tcMar>
          </w:tcPr>
          <w:p w14:paraId="430EB38E" w14:textId="77777777" w:rsidR="00B47B2C" w:rsidRPr="0046704C" w:rsidRDefault="00B47B2C" w:rsidP="000047E6">
            <w:pPr>
              <w:jc w:val="right"/>
              <w:rPr>
                <w:rFonts w:ascii="Arial" w:hAnsi="Arial" w:cs="Arial"/>
                <w:sz w:val="22"/>
                <w:szCs w:val="22"/>
              </w:rPr>
            </w:pPr>
          </w:p>
        </w:tc>
        <w:tc>
          <w:tcPr>
            <w:tcW w:w="196" w:type="dxa"/>
            <w:tcBorders>
              <w:top w:val="nil"/>
              <w:left w:val="single" w:sz="2" w:space="0" w:color="FFFFFF" w:themeColor="background1"/>
              <w:bottom w:val="dotted" w:sz="4" w:space="0" w:color="auto"/>
              <w:right w:val="single" w:sz="2" w:space="0" w:color="FFFFFF" w:themeColor="background1"/>
            </w:tcBorders>
          </w:tcPr>
          <w:p w14:paraId="260B1FF6" w14:textId="77777777" w:rsidR="00B47B2C" w:rsidRPr="0046704C" w:rsidRDefault="00B47B2C" w:rsidP="000047E6">
            <w:pPr>
              <w:jc w:val="right"/>
              <w:rPr>
                <w:rFonts w:ascii="Arial" w:hAnsi="Arial" w:cs="Arial"/>
                <w:sz w:val="22"/>
                <w:szCs w:val="22"/>
              </w:rPr>
            </w:pPr>
          </w:p>
        </w:tc>
        <w:tc>
          <w:tcPr>
            <w:tcW w:w="932" w:type="dxa"/>
            <w:gridSpan w:val="2"/>
            <w:tcBorders>
              <w:top w:val="nil"/>
              <w:left w:val="single" w:sz="2" w:space="0" w:color="FFFFFF" w:themeColor="background1"/>
              <w:bottom w:val="dotted" w:sz="4" w:space="0" w:color="auto"/>
              <w:right w:val="single" w:sz="2" w:space="0" w:color="FFFFFF" w:themeColor="background1"/>
            </w:tcBorders>
            <w:tcMar>
              <w:top w:w="72" w:type="dxa"/>
              <w:left w:w="115" w:type="dxa"/>
              <w:bottom w:w="72" w:type="dxa"/>
              <w:right w:w="115" w:type="dxa"/>
            </w:tcMar>
          </w:tcPr>
          <w:p w14:paraId="13D5DDE3" w14:textId="77777777" w:rsidR="00B47B2C" w:rsidRPr="0046704C" w:rsidRDefault="00B47B2C" w:rsidP="000047E6">
            <w:pPr>
              <w:jc w:val="right"/>
              <w:rPr>
                <w:rFonts w:ascii="Arial" w:hAnsi="Arial" w:cs="Arial"/>
                <w:sz w:val="22"/>
                <w:szCs w:val="22"/>
              </w:rPr>
            </w:pPr>
          </w:p>
        </w:tc>
      </w:tr>
      <w:tr w:rsidR="00B47B2C" w:rsidRPr="008D0300" w14:paraId="3BD519FD" w14:textId="77777777" w:rsidTr="000047E6">
        <w:trPr>
          <w:gridAfter w:val="1"/>
          <w:wAfter w:w="6" w:type="dxa"/>
          <w:cantSplit/>
          <w:trHeight w:val="287"/>
          <w:jc w:val="center"/>
        </w:trPr>
        <w:tc>
          <w:tcPr>
            <w:tcW w:w="9474" w:type="dxa"/>
            <w:gridSpan w:val="9"/>
            <w:tcBorders>
              <w:top w:val="dotted" w:sz="4" w:space="0" w:color="auto"/>
              <w:left w:val="nil"/>
              <w:bottom w:val="nil"/>
              <w:right w:val="single" w:sz="2" w:space="0" w:color="FFFFFF" w:themeColor="background1"/>
            </w:tcBorders>
            <w:tcMar>
              <w:top w:w="72" w:type="dxa"/>
              <w:left w:w="115" w:type="dxa"/>
              <w:bottom w:w="72" w:type="dxa"/>
              <w:right w:w="115" w:type="dxa"/>
            </w:tcMar>
            <w:vAlign w:val="center"/>
          </w:tcPr>
          <w:p w14:paraId="4521C6D1" w14:textId="77777777" w:rsidR="00B47B2C" w:rsidRPr="006F4699" w:rsidRDefault="00B47B2C" w:rsidP="000047E6">
            <w:pPr>
              <w:spacing w:line="264" w:lineRule="auto"/>
              <w:ind w:left="216"/>
              <w:rPr>
                <w:rFonts w:ascii="Arial" w:hAnsi="Arial" w:cs="Arial"/>
                <w:b/>
                <w:sz w:val="22"/>
                <w:szCs w:val="22"/>
              </w:rPr>
            </w:pPr>
            <w:r w:rsidRPr="006F4699">
              <w:rPr>
                <w:rFonts w:ascii="Arial" w:hAnsi="Arial" w:cs="Arial"/>
                <w:b/>
                <w:sz w:val="22"/>
                <w:szCs w:val="22"/>
              </w:rPr>
              <w:t>Major Revenue Sources</w:t>
            </w:r>
            <w:r>
              <w:rPr>
                <w:rFonts w:ascii="Arial" w:hAnsi="Arial" w:cs="Arial"/>
                <w:b/>
                <w:sz w:val="22"/>
                <w:szCs w:val="22"/>
              </w:rPr>
              <w:t xml:space="preserve">: </w:t>
            </w:r>
            <w:r w:rsidRPr="00AE556A">
              <w:rPr>
                <w:rFonts w:ascii="Arial" w:hAnsi="Arial" w:cs="Arial"/>
                <w:sz w:val="22"/>
                <w:szCs w:val="22"/>
              </w:rPr>
              <w:t>Revenues are recovered from divisions in Public Health, Seattle-King County and are base</w:t>
            </w:r>
            <w:r>
              <w:rPr>
                <w:rFonts w:ascii="Arial" w:hAnsi="Arial" w:cs="Arial"/>
                <w:sz w:val="22"/>
                <w:szCs w:val="22"/>
              </w:rPr>
              <w:t>d on charges for services</w:t>
            </w:r>
            <w:r w:rsidRPr="00AE556A">
              <w:rPr>
                <w:rFonts w:ascii="Arial" w:hAnsi="Arial" w:cs="Arial"/>
                <w:sz w:val="22"/>
                <w:szCs w:val="22"/>
              </w:rPr>
              <w:t>.</w:t>
            </w:r>
          </w:p>
        </w:tc>
      </w:tr>
      <w:tr w:rsidR="00B47B2C" w:rsidRPr="008D0300" w14:paraId="7C3AB96F" w14:textId="77777777" w:rsidTr="000047E6">
        <w:trPr>
          <w:gridAfter w:val="1"/>
          <w:wAfter w:w="6" w:type="dxa"/>
          <w:cantSplit/>
          <w:trHeight w:val="396"/>
          <w:jc w:val="center"/>
        </w:trPr>
        <w:tc>
          <w:tcPr>
            <w:tcW w:w="9474" w:type="dxa"/>
            <w:gridSpan w:val="9"/>
            <w:tcBorders>
              <w:top w:val="nil"/>
              <w:left w:val="nil"/>
              <w:bottom w:val="single" w:sz="12" w:space="0" w:color="auto"/>
              <w:right w:val="single" w:sz="2" w:space="0" w:color="FFFFFF" w:themeColor="background1"/>
            </w:tcBorders>
            <w:tcMar>
              <w:top w:w="72" w:type="dxa"/>
              <w:left w:w="115" w:type="dxa"/>
              <w:bottom w:w="72" w:type="dxa"/>
              <w:right w:w="115" w:type="dxa"/>
            </w:tcMar>
            <w:vAlign w:val="center"/>
          </w:tcPr>
          <w:p w14:paraId="7952E57C" w14:textId="77777777" w:rsidR="00B47B2C" w:rsidRPr="008C07EB" w:rsidRDefault="00B47B2C" w:rsidP="000047E6">
            <w:pPr>
              <w:spacing w:line="264" w:lineRule="auto"/>
              <w:ind w:left="216"/>
              <w:rPr>
                <w:rFonts w:ascii="Arial" w:hAnsi="Arial" w:cs="Arial"/>
                <w:sz w:val="22"/>
                <w:szCs w:val="22"/>
              </w:rPr>
            </w:pPr>
            <w:r>
              <w:rPr>
                <w:rFonts w:ascii="Arial" w:hAnsi="Arial" w:cs="Arial"/>
                <w:b/>
                <w:sz w:val="22"/>
                <w:szCs w:val="22"/>
              </w:rPr>
              <w:t>Base Budget Assumptions:</w:t>
            </w:r>
            <w:r>
              <w:rPr>
                <w:rFonts w:ascii="Arial" w:hAnsi="Arial" w:cs="Arial"/>
                <w:sz w:val="22"/>
                <w:szCs w:val="22"/>
              </w:rPr>
              <w:t xml:space="preserve"> Remove 2021-2022 one-time changes including those related to pandemic response, annualize supplemental changes, update personnel rates.</w:t>
            </w:r>
          </w:p>
        </w:tc>
      </w:tr>
    </w:tbl>
    <w:p w14:paraId="73E8CD09" w14:textId="77777777" w:rsidR="00B47B2C" w:rsidRDefault="00B47B2C" w:rsidP="00B47B2C">
      <w:pPr>
        <w:spacing w:line="264" w:lineRule="auto"/>
        <w:contextualSpacing/>
        <w:rPr>
          <w:color w:val="FF0000"/>
          <w:sz w:val="16"/>
          <w:szCs w:val="16"/>
        </w:rPr>
      </w:pPr>
    </w:p>
    <w:p w14:paraId="450EB9E5" w14:textId="77777777" w:rsidR="00B47B2C" w:rsidRPr="00712563" w:rsidRDefault="00B47B2C" w:rsidP="00B47B2C">
      <w:pPr>
        <w:spacing w:line="264" w:lineRule="auto"/>
        <w:contextualSpacing/>
        <w:jc w:val="center"/>
        <w:rPr>
          <w:rFonts w:ascii="Arial" w:hAnsi="Arial" w:cs="Arial"/>
          <w:b/>
          <w:szCs w:val="24"/>
        </w:rPr>
      </w:pPr>
      <w:r w:rsidRPr="00712563">
        <w:rPr>
          <w:rFonts w:ascii="Arial" w:hAnsi="Arial" w:cs="Arial"/>
          <w:b/>
          <w:smallCaps/>
          <w:szCs w:val="24"/>
          <w:u w:val="single"/>
        </w:rPr>
        <w:t>Description</w:t>
      </w:r>
    </w:p>
    <w:p w14:paraId="60FE681F" w14:textId="77777777" w:rsidR="00B47B2C" w:rsidRPr="00712563" w:rsidRDefault="00B47B2C" w:rsidP="00B47B2C">
      <w:pPr>
        <w:spacing w:line="264" w:lineRule="auto"/>
        <w:contextualSpacing/>
        <w:jc w:val="both"/>
        <w:rPr>
          <w:rFonts w:ascii="Arial" w:hAnsi="Arial" w:cs="Arial"/>
          <w:szCs w:val="24"/>
        </w:rPr>
      </w:pPr>
    </w:p>
    <w:p w14:paraId="1AED569D" w14:textId="77777777" w:rsidR="00B47B2C" w:rsidRPr="00712563" w:rsidRDefault="00B47B2C" w:rsidP="00B47B2C">
      <w:pPr>
        <w:spacing w:line="264" w:lineRule="auto"/>
        <w:contextualSpacing/>
        <w:jc w:val="both"/>
        <w:rPr>
          <w:rFonts w:ascii="Arial" w:hAnsi="Arial" w:cs="Arial"/>
          <w:szCs w:val="24"/>
        </w:rPr>
      </w:pPr>
      <w:r>
        <w:rPr>
          <w:rFonts w:ascii="Arial" w:hAnsi="Arial" w:cs="Arial"/>
          <w:szCs w:val="24"/>
        </w:rPr>
        <w:t>The Public Health Administration Fund supports the administration of Public Health – Seattle &amp; King County (PHSKC).</w:t>
      </w:r>
    </w:p>
    <w:p w14:paraId="1E208759" w14:textId="77777777" w:rsidR="00B47B2C" w:rsidRPr="00712563" w:rsidRDefault="00B47B2C" w:rsidP="00B47B2C">
      <w:pPr>
        <w:spacing w:line="264" w:lineRule="auto"/>
        <w:contextualSpacing/>
        <w:rPr>
          <w:rFonts w:ascii="Arial" w:hAnsi="Arial" w:cs="Arial"/>
          <w:szCs w:val="24"/>
        </w:rPr>
      </w:pPr>
    </w:p>
    <w:p w14:paraId="60F531A7" w14:textId="77777777" w:rsidR="00B47B2C" w:rsidRPr="00B2433E" w:rsidRDefault="00B47B2C" w:rsidP="00B47B2C">
      <w:pPr>
        <w:spacing w:line="264" w:lineRule="auto"/>
        <w:contextualSpacing/>
        <w:jc w:val="center"/>
        <w:rPr>
          <w:rFonts w:ascii="Arial" w:hAnsi="Arial" w:cs="Arial"/>
          <w:b/>
          <w:szCs w:val="24"/>
        </w:rPr>
      </w:pPr>
      <w:r>
        <w:rPr>
          <w:rFonts w:ascii="Arial" w:hAnsi="Arial" w:cs="Arial"/>
          <w:b/>
          <w:smallCaps/>
          <w:szCs w:val="24"/>
          <w:u w:val="single"/>
        </w:rPr>
        <w:t>Summary of Proposed Budget and Changes</w:t>
      </w:r>
    </w:p>
    <w:p w14:paraId="397EC915" w14:textId="77777777" w:rsidR="00B47B2C" w:rsidRPr="00F6225B" w:rsidRDefault="00B47B2C" w:rsidP="00B47B2C">
      <w:pPr>
        <w:spacing w:line="264" w:lineRule="auto"/>
        <w:contextualSpacing/>
        <w:jc w:val="both"/>
        <w:rPr>
          <w:rFonts w:ascii="Arial" w:hAnsi="Arial" w:cs="Arial"/>
          <w:szCs w:val="24"/>
        </w:rPr>
      </w:pPr>
    </w:p>
    <w:p w14:paraId="4FF4F64E" w14:textId="77777777" w:rsidR="00B47B2C" w:rsidRDefault="00B47B2C" w:rsidP="00B47B2C">
      <w:pPr>
        <w:spacing w:line="264" w:lineRule="auto"/>
        <w:contextualSpacing/>
        <w:jc w:val="both"/>
        <w:rPr>
          <w:rFonts w:ascii="Arial" w:hAnsi="Arial" w:cs="Arial"/>
          <w:szCs w:val="24"/>
        </w:rPr>
      </w:pPr>
      <w:r w:rsidRPr="00AA0682">
        <w:rPr>
          <w:rFonts w:ascii="Arial" w:hAnsi="Arial" w:cs="Arial"/>
          <w:szCs w:val="24"/>
        </w:rPr>
        <w:t xml:space="preserve">The </w:t>
      </w:r>
      <w:r>
        <w:rPr>
          <w:rFonts w:ascii="Arial" w:hAnsi="Arial" w:cs="Arial"/>
          <w:szCs w:val="24"/>
        </w:rPr>
        <w:t>proposed budget for the Public Health Admin Fund consists of $776,000 of net expenditures and 7.2 new FTEs. The primary decision packages include the following:</w:t>
      </w:r>
    </w:p>
    <w:p w14:paraId="0399F9B6" w14:textId="77777777" w:rsidR="00B47B2C" w:rsidRDefault="00B47B2C" w:rsidP="00B47B2C">
      <w:pPr>
        <w:pStyle w:val="ListParagraph"/>
        <w:numPr>
          <w:ilvl w:val="0"/>
          <w:numId w:val="1"/>
        </w:numPr>
        <w:spacing w:line="264" w:lineRule="auto"/>
        <w:ind w:left="720"/>
        <w:jc w:val="both"/>
        <w:rPr>
          <w:rFonts w:ascii="Arial" w:hAnsi="Arial" w:cs="Arial"/>
          <w:szCs w:val="24"/>
        </w:rPr>
      </w:pPr>
      <w:r>
        <w:rPr>
          <w:rFonts w:ascii="Arial" w:hAnsi="Arial" w:cs="Arial"/>
          <w:szCs w:val="24"/>
        </w:rPr>
        <w:t xml:space="preserve">$346,000 and 1 FTE to support the newly expanded King County Board of Health that will have 16 regular and 8 alternate members, half of whom will be nonelected. This FTE would meet the operational need posed by the expansion. </w:t>
      </w:r>
    </w:p>
    <w:p w14:paraId="450D79C2" w14:textId="77777777" w:rsidR="00B47B2C" w:rsidRDefault="00B47B2C" w:rsidP="00B47B2C">
      <w:pPr>
        <w:pStyle w:val="ListParagraph"/>
        <w:numPr>
          <w:ilvl w:val="0"/>
          <w:numId w:val="1"/>
        </w:numPr>
        <w:spacing w:line="264" w:lineRule="auto"/>
        <w:ind w:left="720"/>
        <w:jc w:val="both"/>
        <w:rPr>
          <w:rFonts w:ascii="Arial" w:hAnsi="Arial" w:cs="Arial"/>
          <w:szCs w:val="24"/>
        </w:rPr>
      </w:pPr>
      <w:r>
        <w:rPr>
          <w:rFonts w:ascii="Arial" w:hAnsi="Arial" w:cs="Arial"/>
          <w:szCs w:val="24"/>
        </w:rPr>
        <w:t>$1.63 million and 4.2 FTEs to add positions supporting workload increase due to the major fund designation and to mitigate compliance risk. This decision package adds capacity in contracting, finance, administration, and program management.</w:t>
      </w:r>
    </w:p>
    <w:p w14:paraId="3104DB9F" w14:textId="77777777" w:rsidR="00B47B2C" w:rsidRDefault="00B47B2C" w:rsidP="00B47B2C">
      <w:pPr>
        <w:pStyle w:val="ListParagraph"/>
        <w:numPr>
          <w:ilvl w:val="0"/>
          <w:numId w:val="1"/>
        </w:numPr>
        <w:spacing w:line="264" w:lineRule="auto"/>
        <w:ind w:left="720"/>
        <w:jc w:val="both"/>
        <w:rPr>
          <w:rFonts w:ascii="Arial" w:hAnsi="Arial" w:cs="Arial"/>
          <w:szCs w:val="24"/>
        </w:rPr>
      </w:pPr>
      <w:r>
        <w:rPr>
          <w:rFonts w:ascii="Arial" w:hAnsi="Arial" w:cs="Arial"/>
          <w:szCs w:val="24"/>
        </w:rPr>
        <w:t xml:space="preserve">$385,000 and 1 FTE to add an Advance Practice Nurse Specialist to the Occupational Health Program to meet regulatory requirements for the occupational health program. </w:t>
      </w:r>
    </w:p>
    <w:p w14:paraId="226A3BEE" w14:textId="77777777" w:rsidR="00B47B2C" w:rsidRDefault="00B47B2C" w:rsidP="00B47B2C">
      <w:pPr>
        <w:pStyle w:val="ListParagraph"/>
        <w:numPr>
          <w:ilvl w:val="0"/>
          <w:numId w:val="1"/>
        </w:numPr>
        <w:spacing w:line="264" w:lineRule="auto"/>
        <w:ind w:left="720"/>
        <w:jc w:val="both"/>
        <w:rPr>
          <w:rFonts w:ascii="Arial" w:hAnsi="Arial" w:cs="Arial"/>
          <w:szCs w:val="24"/>
        </w:rPr>
      </w:pPr>
      <w:r>
        <w:rPr>
          <w:rFonts w:ascii="Arial" w:hAnsi="Arial" w:cs="Arial"/>
          <w:szCs w:val="24"/>
        </w:rPr>
        <w:t xml:space="preserve">$354,000 and 1 FTE to transfer an employee labor relations position from the Public Health fund to the Public Health Admin fund to align with reporting structure. </w:t>
      </w:r>
    </w:p>
    <w:p w14:paraId="6089D2C8" w14:textId="77777777" w:rsidR="00B47B2C" w:rsidRDefault="00B47B2C" w:rsidP="00B47B2C">
      <w:pPr>
        <w:spacing w:line="264" w:lineRule="auto"/>
        <w:contextualSpacing/>
        <w:jc w:val="center"/>
        <w:rPr>
          <w:rFonts w:ascii="Arial" w:hAnsi="Arial" w:cs="Arial"/>
          <w:b/>
          <w:smallCaps/>
          <w:szCs w:val="24"/>
          <w:u w:val="single"/>
        </w:rPr>
      </w:pPr>
    </w:p>
    <w:p w14:paraId="22681AC6" w14:textId="77777777" w:rsidR="00B47B2C" w:rsidRDefault="00B47B2C" w:rsidP="00B47B2C">
      <w:pPr>
        <w:spacing w:line="264" w:lineRule="auto"/>
        <w:contextualSpacing/>
        <w:jc w:val="center"/>
        <w:rPr>
          <w:rFonts w:ascii="Arial" w:hAnsi="Arial" w:cs="Arial"/>
          <w:b/>
          <w:smallCaps/>
          <w:szCs w:val="24"/>
          <w:u w:val="single"/>
        </w:rPr>
      </w:pPr>
    </w:p>
    <w:p w14:paraId="0ED7E8C9" w14:textId="77777777" w:rsidR="00B47B2C" w:rsidRDefault="00B47B2C" w:rsidP="00B47B2C">
      <w:pPr>
        <w:spacing w:line="264" w:lineRule="auto"/>
        <w:contextualSpacing/>
        <w:jc w:val="center"/>
        <w:rPr>
          <w:rFonts w:ascii="Arial" w:hAnsi="Arial" w:cs="Arial"/>
          <w:b/>
          <w:smallCaps/>
          <w:szCs w:val="24"/>
          <w:u w:val="single"/>
        </w:rPr>
      </w:pPr>
    </w:p>
    <w:p w14:paraId="0C0A2C1B" w14:textId="77777777" w:rsidR="00B47B2C" w:rsidRPr="00B2433E" w:rsidRDefault="00B47B2C" w:rsidP="00B47B2C">
      <w:pPr>
        <w:spacing w:line="264" w:lineRule="auto"/>
        <w:contextualSpacing/>
        <w:jc w:val="center"/>
        <w:rPr>
          <w:rFonts w:ascii="Arial" w:hAnsi="Arial" w:cs="Arial"/>
          <w:b/>
          <w:smallCaps/>
          <w:szCs w:val="24"/>
          <w:u w:val="single"/>
        </w:rPr>
      </w:pPr>
      <w:r>
        <w:rPr>
          <w:rFonts w:ascii="Arial" w:hAnsi="Arial" w:cs="Arial"/>
          <w:b/>
          <w:smallCaps/>
          <w:szCs w:val="24"/>
          <w:u w:val="single"/>
        </w:rPr>
        <w:lastRenderedPageBreak/>
        <w:t>Key Issues</w:t>
      </w:r>
    </w:p>
    <w:p w14:paraId="7D4ACD6A" w14:textId="77777777" w:rsidR="00B47B2C" w:rsidRPr="00B2433E" w:rsidRDefault="00B47B2C" w:rsidP="00B47B2C">
      <w:pPr>
        <w:spacing w:line="264" w:lineRule="auto"/>
        <w:contextualSpacing/>
        <w:jc w:val="center"/>
        <w:rPr>
          <w:rFonts w:ascii="Arial" w:hAnsi="Arial" w:cs="Arial"/>
          <w:szCs w:val="24"/>
        </w:rPr>
      </w:pPr>
    </w:p>
    <w:p w14:paraId="1B7D3D1D" w14:textId="39B751E5" w:rsidR="00966850" w:rsidRPr="00B47B2C" w:rsidRDefault="00B47B2C" w:rsidP="00B47B2C">
      <w:r w:rsidRPr="0046076F">
        <w:rPr>
          <w:rFonts w:ascii="Arial" w:hAnsi="Arial" w:cs="Arial"/>
          <w:bCs/>
          <w:szCs w:val="24"/>
        </w:rPr>
        <w:t>Staff have not identified any issues with the proposed budget.</w:t>
      </w:r>
    </w:p>
    <w:sectPr w:rsidR="00966850" w:rsidRPr="00B47B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12566" w14:textId="77777777" w:rsidR="005A2FB5" w:rsidRDefault="005A2FB5" w:rsidP="002B1EEC">
      <w:r>
        <w:separator/>
      </w:r>
    </w:p>
  </w:endnote>
  <w:endnote w:type="continuationSeparator" w:id="0">
    <w:p w14:paraId="2F12B966" w14:textId="77777777" w:rsidR="005A2FB5" w:rsidRDefault="005A2FB5" w:rsidP="002B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2F212" w14:textId="77777777" w:rsidR="005A2FB5" w:rsidRDefault="005A2FB5" w:rsidP="002B1EEC">
      <w:r>
        <w:separator/>
      </w:r>
    </w:p>
  </w:footnote>
  <w:footnote w:type="continuationSeparator" w:id="0">
    <w:p w14:paraId="5FB96EE1" w14:textId="77777777" w:rsidR="005A2FB5" w:rsidRDefault="005A2FB5" w:rsidP="002B1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267ED"/>
    <w:multiLevelType w:val="hybridMultilevel"/>
    <w:tmpl w:val="9A6A7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177"/>
    <w:rsid w:val="000012E9"/>
    <w:rsid w:val="00017C4F"/>
    <w:rsid w:val="000630AD"/>
    <w:rsid w:val="00066738"/>
    <w:rsid w:val="00070FFF"/>
    <w:rsid w:val="00071CAF"/>
    <w:rsid w:val="000C28CA"/>
    <w:rsid w:val="000C4917"/>
    <w:rsid w:val="000E5B6D"/>
    <w:rsid w:val="000F24E4"/>
    <w:rsid w:val="0010465A"/>
    <w:rsid w:val="00153737"/>
    <w:rsid w:val="001B56DC"/>
    <w:rsid w:val="001B6D03"/>
    <w:rsid w:val="001D3898"/>
    <w:rsid w:val="001D636D"/>
    <w:rsid w:val="001F77E8"/>
    <w:rsid w:val="00200960"/>
    <w:rsid w:val="00222175"/>
    <w:rsid w:val="002256FC"/>
    <w:rsid w:val="0023400C"/>
    <w:rsid w:val="002345BD"/>
    <w:rsid w:val="0023765F"/>
    <w:rsid w:val="00293D6E"/>
    <w:rsid w:val="00296348"/>
    <w:rsid w:val="002B1EEC"/>
    <w:rsid w:val="002C7B29"/>
    <w:rsid w:val="002F2B4A"/>
    <w:rsid w:val="003316A4"/>
    <w:rsid w:val="0039444A"/>
    <w:rsid w:val="003C5385"/>
    <w:rsid w:val="004208A8"/>
    <w:rsid w:val="004267E4"/>
    <w:rsid w:val="00437A69"/>
    <w:rsid w:val="004428F7"/>
    <w:rsid w:val="004738AD"/>
    <w:rsid w:val="00473ACA"/>
    <w:rsid w:val="004B3811"/>
    <w:rsid w:val="004F4443"/>
    <w:rsid w:val="004F495A"/>
    <w:rsid w:val="00516432"/>
    <w:rsid w:val="00540896"/>
    <w:rsid w:val="00546978"/>
    <w:rsid w:val="005A2FB5"/>
    <w:rsid w:val="005B5CF1"/>
    <w:rsid w:val="005D555E"/>
    <w:rsid w:val="005E6668"/>
    <w:rsid w:val="006004B7"/>
    <w:rsid w:val="00605772"/>
    <w:rsid w:val="006069A7"/>
    <w:rsid w:val="00611D10"/>
    <w:rsid w:val="00614345"/>
    <w:rsid w:val="0064247A"/>
    <w:rsid w:val="00661247"/>
    <w:rsid w:val="00663CAE"/>
    <w:rsid w:val="00680A46"/>
    <w:rsid w:val="00685EDB"/>
    <w:rsid w:val="00687D64"/>
    <w:rsid w:val="006A3321"/>
    <w:rsid w:val="006B3D50"/>
    <w:rsid w:val="006C1818"/>
    <w:rsid w:val="0074795E"/>
    <w:rsid w:val="00763232"/>
    <w:rsid w:val="007820FC"/>
    <w:rsid w:val="007A634E"/>
    <w:rsid w:val="007D3F7F"/>
    <w:rsid w:val="00830D56"/>
    <w:rsid w:val="008627B8"/>
    <w:rsid w:val="0086303E"/>
    <w:rsid w:val="00870B2F"/>
    <w:rsid w:val="00877618"/>
    <w:rsid w:val="0088729C"/>
    <w:rsid w:val="0089657A"/>
    <w:rsid w:val="008D0A80"/>
    <w:rsid w:val="008D18ED"/>
    <w:rsid w:val="00916A45"/>
    <w:rsid w:val="0095200E"/>
    <w:rsid w:val="00966850"/>
    <w:rsid w:val="0097049B"/>
    <w:rsid w:val="00971CCC"/>
    <w:rsid w:val="00982685"/>
    <w:rsid w:val="009A5C70"/>
    <w:rsid w:val="009D5A12"/>
    <w:rsid w:val="009F2AF2"/>
    <w:rsid w:val="00A30DD4"/>
    <w:rsid w:val="00A5014F"/>
    <w:rsid w:val="00A76C1F"/>
    <w:rsid w:val="00AA50AE"/>
    <w:rsid w:val="00AB2C90"/>
    <w:rsid w:val="00AB620B"/>
    <w:rsid w:val="00AC15A9"/>
    <w:rsid w:val="00AC6AC9"/>
    <w:rsid w:val="00AE556A"/>
    <w:rsid w:val="00AF5EE7"/>
    <w:rsid w:val="00B01448"/>
    <w:rsid w:val="00B23FCD"/>
    <w:rsid w:val="00B271EC"/>
    <w:rsid w:val="00B33EC1"/>
    <w:rsid w:val="00B47B2C"/>
    <w:rsid w:val="00B536E0"/>
    <w:rsid w:val="00B553BA"/>
    <w:rsid w:val="00C06D0B"/>
    <w:rsid w:val="00C513FF"/>
    <w:rsid w:val="00C576D9"/>
    <w:rsid w:val="00C75FE4"/>
    <w:rsid w:val="00CA3ED7"/>
    <w:rsid w:val="00CE5ED8"/>
    <w:rsid w:val="00D15395"/>
    <w:rsid w:val="00D4028C"/>
    <w:rsid w:val="00D43BE3"/>
    <w:rsid w:val="00D45CA2"/>
    <w:rsid w:val="00D60B91"/>
    <w:rsid w:val="00D77844"/>
    <w:rsid w:val="00D92E5B"/>
    <w:rsid w:val="00D9456F"/>
    <w:rsid w:val="00DA7A1B"/>
    <w:rsid w:val="00DE2FC2"/>
    <w:rsid w:val="00DF0664"/>
    <w:rsid w:val="00E336CE"/>
    <w:rsid w:val="00E44886"/>
    <w:rsid w:val="00E62177"/>
    <w:rsid w:val="00E74BBC"/>
    <w:rsid w:val="00EC2E95"/>
    <w:rsid w:val="00ED6939"/>
    <w:rsid w:val="00EF0D5E"/>
    <w:rsid w:val="00EF11CD"/>
    <w:rsid w:val="00EF517B"/>
    <w:rsid w:val="00F23717"/>
    <w:rsid w:val="00F42D4C"/>
    <w:rsid w:val="00F55F3A"/>
    <w:rsid w:val="00F91978"/>
    <w:rsid w:val="00F9500B"/>
    <w:rsid w:val="00FA17CE"/>
    <w:rsid w:val="00FA3DBB"/>
    <w:rsid w:val="00FB525C"/>
    <w:rsid w:val="00FC7894"/>
    <w:rsid w:val="00FE5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D57B0"/>
  <w15:chartTrackingRefBased/>
  <w15:docId w15:val="{F582832F-DB4D-4490-BF2E-E0FF63BC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A6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7A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B1EEC"/>
    <w:rPr>
      <w:sz w:val="20"/>
    </w:rPr>
  </w:style>
  <w:style w:type="character" w:customStyle="1" w:styleId="FootnoteTextChar">
    <w:name w:val="Footnote Text Char"/>
    <w:basedOn w:val="DefaultParagraphFont"/>
    <w:link w:val="FootnoteText"/>
    <w:uiPriority w:val="99"/>
    <w:rsid w:val="002B1EEC"/>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2B1EEC"/>
    <w:rPr>
      <w:vertAlign w:val="superscript"/>
    </w:rPr>
  </w:style>
  <w:style w:type="character" w:styleId="Hyperlink">
    <w:name w:val="Hyperlink"/>
    <w:basedOn w:val="DefaultParagraphFont"/>
    <w:uiPriority w:val="99"/>
    <w:unhideWhenUsed/>
    <w:rsid w:val="002B1EEC"/>
    <w:rPr>
      <w:color w:val="0563C1" w:themeColor="hyperlink"/>
      <w:u w:val="single"/>
    </w:rPr>
  </w:style>
  <w:style w:type="paragraph" w:styleId="ListParagraph">
    <w:name w:val="List Paragraph"/>
    <w:basedOn w:val="Normal"/>
    <w:uiPriority w:val="34"/>
    <w:qFormat/>
    <w:rsid w:val="004428F7"/>
    <w:pPr>
      <w:ind w:left="720"/>
      <w:contextualSpacing/>
    </w:pPr>
  </w:style>
  <w:style w:type="character" w:styleId="CommentReference">
    <w:name w:val="annotation reference"/>
    <w:basedOn w:val="DefaultParagraphFont"/>
    <w:uiPriority w:val="99"/>
    <w:semiHidden/>
    <w:unhideWhenUsed/>
    <w:rsid w:val="00687D64"/>
    <w:rPr>
      <w:sz w:val="16"/>
      <w:szCs w:val="16"/>
    </w:rPr>
  </w:style>
  <w:style w:type="paragraph" w:styleId="CommentText">
    <w:name w:val="annotation text"/>
    <w:basedOn w:val="Normal"/>
    <w:link w:val="CommentTextChar"/>
    <w:uiPriority w:val="99"/>
    <w:semiHidden/>
    <w:unhideWhenUsed/>
    <w:rsid w:val="00687D64"/>
    <w:rPr>
      <w:sz w:val="20"/>
    </w:rPr>
  </w:style>
  <w:style w:type="character" w:customStyle="1" w:styleId="CommentTextChar">
    <w:name w:val="Comment Text Char"/>
    <w:basedOn w:val="DefaultParagraphFont"/>
    <w:link w:val="CommentText"/>
    <w:uiPriority w:val="99"/>
    <w:semiHidden/>
    <w:rsid w:val="00687D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7D64"/>
    <w:rPr>
      <w:b/>
      <w:bCs/>
    </w:rPr>
  </w:style>
  <w:style w:type="character" w:customStyle="1" w:styleId="CommentSubjectChar">
    <w:name w:val="Comment Subject Char"/>
    <w:basedOn w:val="CommentTextChar"/>
    <w:link w:val="CommentSubject"/>
    <w:uiPriority w:val="99"/>
    <w:semiHidden/>
    <w:rsid w:val="00687D6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438572">
      <w:bodyDiv w:val="1"/>
      <w:marLeft w:val="0"/>
      <w:marRight w:val="0"/>
      <w:marTop w:val="0"/>
      <w:marBottom w:val="0"/>
      <w:divBdr>
        <w:top w:val="none" w:sz="0" w:space="0" w:color="auto"/>
        <w:left w:val="none" w:sz="0" w:space="0" w:color="auto"/>
        <w:bottom w:val="none" w:sz="0" w:space="0" w:color="auto"/>
        <w:right w:val="none" w:sz="0" w:space="0" w:color="auto"/>
      </w:divBdr>
    </w:div>
    <w:div w:id="1066881557">
      <w:bodyDiv w:val="1"/>
      <w:marLeft w:val="0"/>
      <w:marRight w:val="0"/>
      <w:marTop w:val="0"/>
      <w:marBottom w:val="0"/>
      <w:divBdr>
        <w:top w:val="none" w:sz="0" w:space="0" w:color="auto"/>
        <w:left w:val="none" w:sz="0" w:space="0" w:color="auto"/>
        <w:bottom w:val="none" w:sz="0" w:space="0" w:color="auto"/>
        <w:right w:val="none" w:sz="0" w:space="0" w:color="auto"/>
      </w:divBdr>
    </w:div>
    <w:div w:id="1972324374">
      <w:bodyDiv w:val="1"/>
      <w:marLeft w:val="0"/>
      <w:marRight w:val="0"/>
      <w:marTop w:val="0"/>
      <w:marBottom w:val="0"/>
      <w:divBdr>
        <w:top w:val="none" w:sz="0" w:space="0" w:color="auto"/>
        <w:left w:val="none" w:sz="0" w:space="0" w:color="auto"/>
        <w:bottom w:val="none" w:sz="0" w:space="0" w:color="auto"/>
        <w:right w:val="none" w:sz="0" w:space="0" w:color="auto"/>
      </w:divBdr>
    </w:div>
    <w:div w:id="2013142761">
      <w:bodyDiv w:val="1"/>
      <w:marLeft w:val="0"/>
      <w:marRight w:val="0"/>
      <w:marTop w:val="0"/>
      <w:marBottom w:val="0"/>
      <w:divBdr>
        <w:top w:val="none" w:sz="0" w:space="0" w:color="auto"/>
        <w:left w:val="none" w:sz="0" w:space="0" w:color="auto"/>
        <w:bottom w:val="none" w:sz="0" w:space="0" w:color="auto"/>
        <w:right w:val="none" w:sz="0" w:space="0" w:color="auto"/>
      </w:divBdr>
      <w:divsChild>
        <w:div w:id="1176768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C0468-E40A-48AF-B309-AF303F8A9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281</Words>
  <Characters>1664</Characters>
  <Application>Microsoft Office Word</Application>
  <DocSecurity>0</DocSecurity>
  <Lines>61</Lines>
  <Paragraphs>26</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Samantha</dc:creator>
  <cp:keywords/>
  <dc:description/>
  <cp:lastModifiedBy>Porter, Samantha</cp:lastModifiedBy>
  <cp:revision>7</cp:revision>
  <dcterms:created xsi:type="dcterms:W3CDTF">2022-09-29T17:55:00Z</dcterms:created>
  <dcterms:modified xsi:type="dcterms:W3CDTF">2022-09-30T21:03:00Z</dcterms:modified>
</cp:coreProperties>
</file>