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25A9" w14:textId="77777777" w:rsidR="00EB5A13" w:rsidRPr="00A46A5D" w:rsidRDefault="00EB5A13" w:rsidP="00EB5A13">
      <w:pPr>
        <w:pStyle w:val="Heading2"/>
        <w:rPr>
          <w:b w:val="0"/>
          <w:sz w:val="24"/>
          <w:u w:val="none"/>
        </w:rPr>
      </w:pPr>
    </w:p>
    <w:p w14:paraId="72F38D5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483729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204A8881" w:rsidR="00EB5A13" w:rsidRPr="009349D6" w:rsidRDefault="00967C7E"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38430F12" w:rsidR="00EB5A13" w:rsidRPr="009349D6" w:rsidRDefault="00AE5FE2" w:rsidP="00074A56">
            <w:pPr>
              <w:spacing w:before="40" w:after="40"/>
              <w:rPr>
                <w:rFonts w:ascii="Arial" w:hAnsi="Arial" w:cs="Arial"/>
              </w:rPr>
            </w:pPr>
            <w:r>
              <w:rPr>
                <w:rFonts w:ascii="Arial" w:hAnsi="Arial" w:cs="Arial"/>
              </w:rPr>
              <w:t>Terra Rose</w:t>
            </w:r>
          </w:p>
        </w:tc>
      </w:tr>
      <w:tr w:rsidR="00EB5A13" w:rsidRPr="009349D6" w14:paraId="58A8E40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41DBE1B0" w:rsidR="00EB5A13" w:rsidRPr="009349D6" w:rsidRDefault="00AE5FE2" w:rsidP="00074A56">
            <w:pPr>
              <w:spacing w:before="40" w:after="40"/>
              <w:rPr>
                <w:rFonts w:ascii="Arial" w:hAnsi="Arial" w:cs="Arial"/>
              </w:rPr>
            </w:pPr>
            <w:r>
              <w:rPr>
                <w:rFonts w:ascii="Arial" w:hAnsi="Arial" w:cs="Arial"/>
              </w:rPr>
              <w:t>2021-0449</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A0B0BC" w14:textId="6AADF64A" w:rsidR="00EB5A13" w:rsidRPr="009349D6" w:rsidRDefault="005903AD" w:rsidP="00074A56">
            <w:pPr>
              <w:spacing w:before="40" w:after="40"/>
              <w:rPr>
                <w:rFonts w:ascii="Arial" w:hAnsi="Arial" w:cs="Arial"/>
              </w:rPr>
            </w:pPr>
            <w:r>
              <w:rPr>
                <w:rFonts w:ascii="Arial" w:hAnsi="Arial" w:cs="Arial"/>
              </w:rPr>
              <w:t>March 9, 2022</w:t>
            </w:r>
          </w:p>
        </w:tc>
      </w:tr>
    </w:tbl>
    <w:p w14:paraId="227CC509" w14:textId="12FFB03F" w:rsidR="006D4045" w:rsidRDefault="006D4045" w:rsidP="005B478C">
      <w:pPr>
        <w:jc w:val="both"/>
        <w:rPr>
          <w:rFonts w:ascii="Arial" w:hAnsi="Arial" w:cs="Arial"/>
          <w:b/>
          <w:szCs w:val="24"/>
          <w:u w:val="single"/>
        </w:rPr>
      </w:pPr>
    </w:p>
    <w:p w14:paraId="31E39504"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02D88C94" w14:textId="77777777" w:rsidR="00785660" w:rsidRDefault="00785660" w:rsidP="00785660">
      <w:pPr>
        <w:rPr>
          <w:rFonts w:ascii="Arial" w:hAnsi="Arial" w:cs="Arial"/>
        </w:rPr>
      </w:pPr>
    </w:p>
    <w:p w14:paraId="2DFC973A" w14:textId="3D893565" w:rsidR="00E21C3B" w:rsidRDefault="00C01562" w:rsidP="00FF3B74">
      <w:pPr>
        <w:jc w:val="both"/>
        <w:rPr>
          <w:rFonts w:ascii="Arial" w:hAnsi="Arial" w:cs="Arial"/>
        </w:rPr>
      </w:pPr>
      <w:r>
        <w:rPr>
          <w:rFonts w:ascii="Arial" w:hAnsi="Arial" w:cs="Arial"/>
        </w:rPr>
        <w:t xml:space="preserve">Proposed Ordinance 2021-0449 would restructure how </w:t>
      </w:r>
      <w:r w:rsidR="001A43D5">
        <w:rPr>
          <w:rFonts w:ascii="Arial" w:hAnsi="Arial" w:cs="Arial"/>
        </w:rPr>
        <w:t xml:space="preserve">the </w:t>
      </w:r>
      <w:r>
        <w:rPr>
          <w:rFonts w:ascii="Arial" w:hAnsi="Arial" w:cs="Arial"/>
        </w:rPr>
        <w:t>S</w:t>
      </w:r>
      <w:r w:rsidR="001A43D5">
        <w:rPr>
          <w:rFonts w:ascii="Arial" w:hAnsi="Arial" w:cs="Arial"/>
        </w:rPr>
        <w:t xml:space="preserve">olid </w:t>
      </w:r>
      <w:r>
        <w:rPr>
          <w:rFonts w:ascii="Arial" w:hAnsi="Arial" w:cs="Arial"/>
        </w:rPr>
        <w:t>W</w:t>
      </w:r>
      <w:r w:rsidR="001A43D5">
        <w:rPr>
          <w:rFonts w:ascii="Arial" w:hAnsi="Arial" w:cs="Arial"/>
        </w:rPr>
        <w:t xml:space="preserve">aste </w:t>
      </w:r>
      <w:r>
        <w:rPr>
          <w:rFonts w:ascii="Arial" w:hAnsi="Arial" w:cs="Arial"/>
        </w:rPr>
        <w:t>D</w:t>
      </w:r>
      <w:r w:rsidR="001A43D5">
        <w:rPr>
          <w:rFonts w:ascii="Arial" w:hAnsi="Arial" w:cs="Arial"/>
        </w:rPr>
        <w:t>ivision</w:t>
      </w:r>
      <w:r>
        <w:rPr>
          <w:rFonts w:ascii="Arial" w:hAnsi="Arial" w:cs="Arial"/>
        </w:rPr>
        <w:t xml:space="preserve"> collects revenues </w:t>
      </w:r>
      <w:r w:rsidR="00E21C3B">
        <w:rPr>
          <w:rFonts w:ascii="Arial" w:hAnsi="Arial" w:cs="Arial"/>
        </w:rPr>
        <w:t>that are generated by commercial haulers depositing waste at County facilities.</w:t>
      </w:r>
    </w:p>
    <w:p w14:paraId="642CCEBD" w14:textId="77777777" w:rsidR="00E21C3B" w:rsidRDefault="00E21C3B" w:rsidP="00FF3B74">
      <w:pPr>
        <w:jc w:val="both"/>
        <w:rPr>
          <w:rFonts w:ascii="Arial" w:hAnsi="Arial" w:cs="Arial"/>
        </w:rPr>
      </w:pPr>
    </w:p>
    <w:p w14:paraId="000A6384"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299868EA" w14:textId="77777777" w:rsidR="00785660" w:rsidRDefault="00785660" w:rsidP="00AC2C14">
      <w:pPr>
        <w:widowControl w:val="0"/>
        <w:rPr>
          <w:rFonts w:ascii="Arial" w:hAnsi="Arial" w:cs="Arial"/>
        </w:rPr>
      </w:pPr>
    </w:p>
    <w:p w14:paraId="042B4653" w14:textId="4DE875C4" w:rsidR="00D676F3" w:rsidRDefault="00B54837" w:rsidP="00D676F3">
      <w:pPr>
        <w:widowControl w:val="0"/>
        <w:jc w:val="both"/>
        <w:rPr>
          <w:rFonts w:ascii="Arial" w:hAnsi="Arial" w:cs="Arial"/>
        </w:rPr>
      </w:pPr>
      <w:r>
        <w:rPr>
          <w:rFonts w:ascii="Arial" w:hAnsi="Arial" w:cs="Arial"/>
        </w:rPr>
        <w:t xml:space="preserve">The County's solid waste system is </w:t>
      </w:r>
      <w:r w:rsidR="00D676F3">
        <w:rPr>
          <w:rFonts w:ascii="Arial" w:hAnsi="Arial" w:cs="Arial"/>
        </w:rPr>
        <w:t xml:space="preserve">currently </w:t>
      </w:r>
      <w:r>
        <w:rPr>
          <w:rFonts w:ascii="Arial" w:hAnsi="Arial" w:cs="Arial"/>
        </w:rPr>
        <w:t xml:space="preserve">supported by fees that are approved by the Council and </w:t>
      </w:r>
      <w:r w:rsidR="00BB083A">
        <w:rPr>
          <w:rFonts w:ascii="Arial" w:hAnsi="Arial" w:cs="Arial"/>
        </w:rPr>
        <w:t xml:space="preserve">are </w:t>
      </w:r>
      <w:r w:rsidR="00D676F3">
        <w:rPr>
          <w:rFonts w:ascii="Arial" w:hAnsi="Arial" w:cs="Arial"/>
        </w:rPr>
        <w:t xml:space="preserve">primarily </w:t>
      </w:r>
      <w:r w:rsidR="00E21C3B">
        <w:rPr>
          <w:rFonts w:ascii="Arial" w:hAnsi="Arial" w:cs="Arial"/>
        </w:rPr>
        <w:t xml:space="preserve">based on the weight of waste being disposed. Under this fee structure, </w:t>
      </w:r>
      <w:r w:rsidR="00D676F3">
        <w:rPr>
          <w:rFonts w:ascii="Arial" w:hAnsi="Arial" w:cs="Arial"/>
        </w:rPr>
        <w:t xml:space="preserve">the amount of revenue generated for the Solid Waste Division </w:t>
      </w:r>
      <w:r w:rsidR="00A87300">
        <w:rPr>
          <w:rFonts w:ascii="Arial" w:hAnsi="Arial" w:cs="Arial"/>
        </w:rPr>
        <w:t xml:space="preserve">(SWD) </w:t>
      </w:r>
      <w:r w:rsidR="00D676F3">
        <w:rPr>
          <w:rFonts w:ascii="Arial" w:hAnsi="Arial" w:cs="Arial"/>
        </w:rPr>
        <w:t xml:space="preserve">fluctuates </w:t>
      </w:r>
      <w:r w:rsidR="0000668E">
        <w:rPr>
          <w:rFonts w:ascii="Arial" w:hAnsi="Arial" w:cs="Arial"/>
        </w:rPr>
        <w:t xml:space="preserve">year to year </w:t>
      </w:r>
      <w:r w:rsidR="00D676F3">
        <w:rPr>
          <w:rFonts w:ascii="Arial" w:hAnsi="Arial" w:cs="Arial"/>
        </w:rPr>
        <w:t xml:space="preserve">depending on the tons of </w:t>
      </w:r>
      <w:r w:rsidR="00E21C3B">
        <w:rPr>
          <w:rFonts w:ascii="Arial" w:hAnsi="Arial" w:cs="Arial"/>
        </w:rPr>
        <w:t xml:space="preserve">disposed </w:t>
      </w:r>
      <w:r w:rsidR="00D676F3">
        <w:rPr>
          <w:rFonts w:ascii="Arial" w:hAnsi="Arial" w:cs="Arial"/>
        </w:rPr>
        <w:t xml:space="preserve">material received by the County. Executive staff indicate that </w:t>
      </w:r>
      <w:r w:rsidR="00A87300">
        <w:rPr>
          <w:rFonts w:ascii="Arial" w:hAnsi="Arial" w:cs="Arial"/>
        </w:rPr>
        <w:t>this</w:t>
      </w:r>
      <w:r w:rsidR="00D676F3">
        <w:rPr>
          <w:rFonts w:ascii="Arial" w:hAnsi="Arial" w:cs="Arial"/>
        </w:rPr>
        <w:t xml:space="preserve"> </w:t>
      </w:r>
      <w:r w:rsidR="00E21C3B">
        <w:rPr>
          <w:rFonts w:ascii="Arial" w:hAnsi="Arial" w:cs="Arial"/>
        </w:rPr>
        <w:t xml:space="preserve">fee </w:t>
      </w:r>
      <w:r w:rsidR="00D676F3">
        <w:rPr>
          <w:rFonts w:ascii="Arial" w:hAnsi="Arial" w:cs="Arial"/>
        </w:rPr>
        <w:t>structure is at odds with the County's goal to achieve zero waste of resources</w:t>
      </w:r>
      <w:r w:rsidR="00D676F3">
        <w:rPr>
          <w:rStyle w:val="FootnoteReference"/>
          <w:rFonts w:ascii="Arial" w:hAnsi="Arial" w:cs="Arial"/>
        </w:rPr>
        <w:footnoteReference w:id="1"/>
      </w:r>
      <w:r w:rsidR="00D676F3">
        <w:rPr>
          <w:rFonts w:ascii="Arial" w:hAnsi="Arial" w:cs="Arial"/>
        </w:rPr>
        <w:t xml:space="preserve"> by 20</w:t>
      </w:r>
      <w:r w:rsidR="00A87300">
        <w:rPr>
          <w:rFonts w:ascii="Arial" w:hAnsi="Arial" w:cs="Arial"/>
        </w:rPr>
        <w:t>30 because as</w:t>
      </w:r>
      <w:r w:rsidR="00D676F3">
        <w:rPr>
          <w:rFonts w:ascii="Arial" w:hAnsi="Arial" w:cs="Arial"/>
        </w:rPr>
        <w:t xml:space="preserve"> </w:t>
      </w:r>
      <w:r w:rsidR="00A87300">
        <w:rPr>
          <w:rFonts w:ascii="Arial" w:hAnsi="Arial" w:cs="Arial"/>
        </w:rPr>
        <w:t>the County diverts more waste from disposal through prevention and recycling efforts, less revenues are generated than if the</w:t>
      </w:r>
      <w:r w:rsidR="0000668E">
        <w:rPr>
          <w:rFonts w:ascii="Arial" w:hAnsi="Arial" w:cs="Arial"/>
        </w:rPr>
        <w:t xml:space="preserve"> diverted materials</w:t>
      </w:r>
      <w:r w:rsidR="00A87300">
        <w:rPr>
          <w:rFonts w:ascii="Arial" w:hAnsi="Arial" w:cs="Arial"/>
        </w:rPr>
        <w:t xml:space="preserve"> had been disposed.</w:t>
      </w:r>
      <w:r w:rsidR="0000668E">
        <w:rPr>
          <w:rFonts w:ascii="Arial" w:hAnsi="Arial" w:cs="Arial"/>
        </w:rPr>
        <w:t xml:space="preserve"> SWD is in the process of </w:t>
      </w:r>
      <w:r w:rsidR="00E21C3B">
        <w:rPr>
          <w:rFonts w:ascii="Arial" w:hAnsi="Arial" w:cs="Arial"/>
        </w:rPr>
        <w:t>finalizing</w:t>
      </w:r>
      <w:r w:rsidR="0000668E">
        <w:rPr>
          <w:rFonts w:ascii="Arial" w:hAnsi="Arial" w:cs="Arial"/>
        </w:rPr>
        <w:t xml:space="preserve"> the Re+ Plan</w:t>
      </w:r>
      <w:r w:rsidR="0000668E">
        <w:rPr>
          <w:rStyle w:val="FootnoteReference"/>
          <w:rFonts w:ascii="Arial" w:hAnsi="Arial" w:cs="Arial"/>
        </w:rPr>
        <w:footnoteReference w:id="2"/>
      </w:r>
      <w:r w:rsidR="0000668E">
        <w:rPr>
          <w:rFonts w:ascii="Arial" w:hAnsi="Arial" w:cs="Arial"/>
        </w:rPr>
        <w:t xml:space="preserve"> that will outline the steps needed to make progress towards the zero waste goal. </w:t>
      </w:r>
      <w:bookmarkStart w:id="0" w:name="_Hlk95982267"/>
      <w:r w:rsidR="009D7C4A">
        <w:rPr>
          <w:rFonts w:ascii="Arial" w:hAnsi="Arial" w:cs="Arial"/>
        </w:rPr>
        <w:t>Executive staff further note that many SWD expenditures, such as debt service for current and completed capital projects, are fixed regardless of the amount of solid waste tonnage received by the County, which sets up the possibility of revenue gaps when tonnage significantly declines.</w:t>
      </w:r>
    </w:p>
    <w:bookmarkEnd w:id="0"/>
    <w:p w14:paraId="3F41A789" w14:textId="54C4FC6C" w:rsidR="0000668E" w:rsidRDefault="0000668E" w:rsidP="00D676F3">
      <w:pPr>
        <w:widowControl w:val="0"/>
        <w:jc w:val="both"/>
        <w:rPr>
          <w:rFonts w:ascii="Arial" w:hAnsi="Arial" w:cs="Arial"/>
        </w:rPr>
      </w:pPr>
    </w:p>
    <w:p w14:paraId="6E1B7A16" w14:textId="56587939" w:rsidR="004B6304" w:rsidRDefault="00BB083A" w:rsidP="0000668E">
      <w:pPr>
        <w:widowControl w:val="0"/>
        <w:jc w:val="both"/>
        <w:rPr>
          <w:rFonts w:ascii="Arial" w:hAnsi="Arial" w:cs="Arial"/>
        </w:rPr>
      </w:pPr>
      <w:r>
        <w:rPr>
          <w:rFonts w:ascii="Arial" w:hAnsi="Arial" w:cs="Arial"/>
        </w:rPr>
        <w:t>Proposed Ordinance 2021-0449 would</w:t>
      </w:r>
      <w:r w:rsidR="004B6304">
        <w:rPr>
          <w:rFonts w:ascii="Arial" w:hAnsi="Arial" w:cs="Arial"/>
        </w:rPr>
        <w:t>, beginning in 2023,</w:t>
      </w:r>
      <w:r w:rsidR="0000668E">
        <w:rPr>
          <w:rFonts w:ascii="Arial" w:hAnsi="Arial" w:cs="Arial"/>
        </w:rPr>
        <w:t xml:space="preserve"> restructure how SWD collects revenues </w:t>
      </w:r>
      <w:r w:rsidR="004B6304">
        <w:rPr>
          <w:rFonts w:ascii="Arial" w:hAnsi="Arial" w:cs="Arial"/>
        </w:rPr>
        <w:t xml:space="preserve">that are </w:t>
      </w:r>
      <w:r w:rsidR="003E1530">
        <w:rPr>
          <w:rFonts w:ascii="Arial" w:hAnsi="Arial" w:cs="Arial"/>
        </w:rPr>
        <w:t xml:space="preserve">generated by commercial haulers depositing waste </w:t>
      </w:r>
      <w:r w:rsidR="00E21C3B">
        <w:rPr>
          <w:rFonts w:ascii="Arial" w:hAnsi="Arial" w:cs="Arial"/>
        </w:rPr>
        <w:t>in the County system</w:t>
      </w:r>
      <w:r w:rsidR="003E1530">
        <w:rPr>
          <w:rFonts w:ascii="Arial" w:hAnsi="Arial" w:cs="Arial"/>
        </w:rPr>
        <w:t>. Specifically, the proposed ordinance would</w:t>
      </w:r>
      <w:r w:rsidR="00380369">
        <w:rPr>
          <w:rFonts w:ascii="Arial" w:hAnsi="Arial" w:cs="Arial"/>
        </w:rPr>
        <w:t>: 1)</w:t>
      </w:r>
      <w:r w:rsidR="003E1530">
        <w:rPr>
          <w:rFonts w:ascii="Arial" w:hAnsi="Arial" w:cs="Arial"/>
        </w:rPr>
        <w:t xml:space="preserve"> introduce a fixed fee referred to as the </w:t>
      </w:r>
      <w:r w:rsidR="003E1530">
        <w:rPr>
          <w:rFonts w:ascii="Arial" w:hAnsi="Arial" w:cs="Arial"/>
          <w:i/>
          <w:iCs/>
        </w:rPr>
        <w:t>fixed-annual charge</w:t>
      </w:r>
      <w:r w:rsidR="004B6304" w:rsidRPr="004B6304">
        <w:rPr>
          <w:rFonts w:ascii="Arial" w:hAnsi="Arial" w:cs="Arial"/>
          <w:i/>
          <w:iCs/>
        </w:rPr>
        <w:t xml:space="preserve"> (FAC)</w:t>
      </w:r>
      <w:r w:rsidR="00380369">
        <w:rPr>
          <w:rFonts w:ascii="Arial" w:hAnsi="Arial" w:cs="Arial"/>
        </w:rPr>
        <w:t xml:space="preserve">, which is the </w:t>
      </w:r>
      <w:r w:rsidR="009D7C4A">
        <w:rPr>
          <w:rFonts w:ascii="Arial" w:hAnsi="Arial" w:cs="Arial"/>
        </w:rPr>
        <w:t xml:space="preserve">total dollar </w:t>
      </w:r>
      <w:r w:rsidR="00380369">
        <w:rPr>
          <w:rFonts w:ascii="Arial" w:hAnsi="Arial" w:cs="Arial"/>
        </w:rPr>
        <w:t xml:space="preserve">amount that SWD would collect annually from </w:t>
      </w:r>
      <w:r w:rsidR="00380369">
        <w:rPr>
          <w:rFonts w:ascii="Arial" w:hAnsi="Arial" w:cs="Arial"/>
          <w:i/>
          <w:iCs/>
        </w:rPr>
        <w:t>billing entities</w:t>
      </w:r>
      <w:r w:rsidR="00380369">
        <w:rPr>
          <w:rFonts w:ascii="Arial" w:hAnsi="Arial" w:cs="Arial"/>
        </w:rPr>
        <w:t xml:space="preserve"> -- either commercial haulers or cities that bill curbside customers directly; and 2) </w:t>
      </w:r>
      <w:r w:rsidR="004B6304">
        <w:rPr>
          <w:rFonts w:ascii="Arial" w:hAnsi="Arial" w:cs="Arial"/>
        </w:rPr>
        <w:t xml:space="preserve">reduce the weight-based fee charged to commercial haulers from the current $154.02 </w:t>
      </w:r>
      <w:r w:rsidR="00E21C3B">
        <w:rPr>
          <w:rFonts w:ascii="Arial" w:hAnsi="Arial" w:cs="Arial"/>
        </w:rPr>
        <w:t xml:space="preserve">per ton </w:t>
      </w:r>
      <w:r w:rsidR="004B6304">
        <w:rPr>
          <w:rFonts w:ascii="Arial" w:hAnsi="Arial" w:cs="Arial"/>
        </w:rPr>
        <w:t xml:space="preserve">to $123.82 per ton. </w:t>
      </w:r>
      <w:r w:rsidR="00380369">
        <w:rPr>
          <w:rFonts w:ascii="Arial" w:hAnsi="Arial" w:cs="Arial"/>
        </w:rPr>
        <w:t>Under the proposed ordinance, e</w:t>
      </w:r>
      <w:r w:rsidR="004B6304">
        <w:rPr>
          <w:rFonts w:ascii="Arial" w:hAnsi="Arial" w:cs="Arial"/>
        </w:rPr>
        <w:t xml:space="preserve">ach billing entity would pay a share of the FAC for each distinct service area it serves that is based on the percentage of tons that service area contributed to </w:t>
      </w:r>
      <w:r w:rsidR="004B6304">
        <w:rPr>
          <w:rFonts w:ascii="Arial" w:hAnsi="Arial" w:cs="Arial"/>
        </w:rPr>
        <w:lastRenderedPageBreak/>
        <w:t xml:space="preserve">the total commercially-hauled tons the County received in the most recent calendar year for which data is available. The </w:t>
      </w:r>
      <w:r w:rsidR="00380369">
        <w:rPr>
          <w:rFonts w:ascii="Arial" w:hAnsi="Arial" w:cs="Arial"/>
        </w:rPr>
        <w:t xml:space="preserve">proposed ordinance sets the </w:t>
      </w:r>
      <w:r w:rsidR="004B6304">
        <w:rPr>
          <w:rFonts w:ascii="Arial" w:hAnsi="Arial" w:cs="Arial"/>
        </w:rPr>
        <w:t xml:space="preserve">FAC </w:t>
      </w:r>
      <w:r w:rsidR="00380369">
        <w:rPr>
          <w:rFonts w:ascii="Arial" w:hAnsi="Arial" w:cs="Arial"/>
        </w:rPr>
        <w:t>at $19.7 million in 2023 until changed by ordinance. According to Executive staff, moving to this mix of fixed and variable fees would help to mitigate the loss of revenue that occurs when tonnage declines.</w:t>
      </w:r>
    </w:p>
    <w:p w14:paraId="189C794E" w14:textId="45E674E9" w:rsidR="00380369" w:rsidRDefault="00380369" w:rsidP="0000668E">
      <w:pPr>
        <w:widowControl w:val="0"/>
        <w:jc w:val="both"/>
        <w:rPr>
          <w:rFonts w:ascii="Arial" w:hAnsi="Arial" w:cs="Arial"/>
        </w:rPr>
      </w:pPr>
    </w:p>
    <w:p w14:paraId="62337327" w14:textId="6D50DAC3" w:rsidR="00E21C3B" w:rsidRDefault="00292F72" w:rsidP="00380369">
      <w:pPr>
        <w:widowControl w:val="0"/>
        <w:jc w:val="both"/>
        <w:rPr>
          <w:rFonts w:ascii="Arial" w:hAnsi="Arial" w:cs="Arial"/>
        </w:rPr>
      </w:pPr>
      <w:r>
        <w:rPr>
          <w:rFonts w:ascii="Arial" w:hAnsi="Arial" w:cs="Arial"/>
        </w:rPr>
        <w:t>To</w:t>
      </w:r>
      <w:r w:rsidR="00380369">
        <w:rPr>
          <w:rFonts w:ascii="Arial" w:hAnsi="Arial" w:cs="Arial"/>
        </w:rPr>
        <w:t xml:space="preserve"> implement the fee restructure, the narrative accompanying the proposed ordinance (Attachment A) indicates that some cities and haulers will likely be required to update the terms of their collection and billing contracts</w:t>
      </w:r>
      <w:r>
        <w:rPr>
          <w:rFonts w:ascii="Arial" w:hAnsi="Arial" w:cs="Arial"/>
        </w:rPr>
        <w:t>, as well as update their associated billing systems</w:t>
      </w:r>
      <w:r w:rsidR="00380369">
        <w:rPr>
          <w:rFonts w:ascii="Arial" w:hAnsi="Arial" w:cs="Arial"/>
        </w:rPr>
        <w:t xml:space="preserve">. Executive staff are seeking action on the proposed ordinance </w:t>
      </w:r>
      <w:r w:rsidR="00E21C3B">
        <w:rPr>
          <w:rFonts w:ascii="Arial" w:hAnsi="Arial" w:cs="Arial"/>
        </w:rPr>
        <w:t xml:space="preserve">early in 2022 </w:t>
      </w:r>
      <w:r>
        <w:rPr>
          <w:rFonts w:ascii="Arial" w:hAnsi="Arial" w:cs="Arial"/>
        </w:rPr>
        <w:t xml:space="preserve">such that cities and haulers have </w:t>
      </w:r>
      <w:r w:rsidR="00380369">
        <w:rPr>
          <w:rFonts w:ascii="Arial" w:hAnsi="Arial" w:cs="Arial"/>
        </w:rPr>
        <w:t xml:space="preserve">at least nine months lead time between when the new fee structure is adopted by the Council and the first bills </w:t>
      </w:r>
      <w:r>
        <w:rPr>
          <w:rFonts w:ascii="Arial" w:hAnsi="Arial" w:cs="Arial"/>
        </w:rPr>
        <w:t>are sent to customers</w:t>
      </w:r>
      <w:r w:rsidR="00380369">
        <w:rPr>
          <w:rFonts w:ascii="Arial" w:hAnsi="Arial" w:cs="Arial"/>
        </w:rPr>
        <w:t xml:space="preserve">. </w:t>
      </w:r>
    </w:p>
    <w:p w14:paraId="1FFF54CF" w14:textId="77777777" w:rsidR="00E21C3B" w:rsidRDefault="00E21C3B" w:rsidP="00380369">
      <w:pPr>
        <w:widowControl w:val="0"/>
        <w:jc w:val="both"/>
        <w:rPr>
          <w:rFonts w:ascii="Arial" w:hAnsi="Arial" w:cs="Arial"/>
        </w:rPr>
      </w:pPr>
    </w:p>
    <w:p w14:paraId="696F5CD5" w14:textId="7A9530DE" w:rsidR="00380369" w:rsidRDefault="00380369" w:rsidP="00380369">
      <w:pPr>
        <w:widowControl w:val="0"/>
        <w:jc w:val="both"/>
        <w:rPr>
          <w:rFonts w:ascii="Arial" w:hAnsi="Arial" w:cs="Arial"/>
        </w:rPr>
      </w:pPr>
      <w:r>
        <w:rPr>
          <w:rFonts w:ascii="Arial" w:hAnsi="Arial" w:cs="Arial"/>
        </w:rPr>
        <w:t xml:space="preserve">Because it is ultimately up to the city and hauler to decide how the FAC will be passed on to </w:t>
      </w:r>
      <w:r w:rsidR="00292F72">
        <w:rPr>
          <w:rFonts w:ascii="Arial" w:hAnsi="Arial" w:cs="Arial"/>
        </w:rPr>
        <w:t xml:space="preserve">curbside </w:t>
      </w:r>
      <w:r>
        <w:rPr>
          <w:rFonts w:ascii="Arial" w:hAnsi="Arial" w:cs="Arial"/>
        </w:rPr>
        <w:t xml:space="preserve">customers, Executive staff indicate that at this point it is not possible to know the ultimate </w:t>
      </w:r>
      <w:r w:rsidR="00292F72">
        <w:rPr>
          <w:rFonts w:ascii="Arial" w:hAnsi="Arial" w:cs="Arial"/>
        </w:rPr>
        <w:t>impact of the proposed ordinance on curbside customers</w:t>
      </w:r>
      <w:r>
        <w:rPr>
          <w:rFonts w:ascii="Arial" w:hAnsi="Arial" w:cs="Arial"/>
        </w:rPr>
        <w:t>.</w:t>
      </w:r>
    </w:p>
    <w:p w14:paraId="45D1E1E8" w14:textId="77777777" w:rsidR="00380369" w:rsidRDefault="00380369" w:rsidP="00380369">
      <w:pPr>
        <w:widowControl w:val="0"/>
        <w:jc w:val="both"/>
        <w:rPr>
          <w:rFonts w:ascii="Arial" w:hAnsi="Arial" w:cs="Arial"/>
        </w:rPr>
      </w:pPr>
    </w:p>
    <w:p w14:paraId="7470CBD0" w14:textId="2ECE5FF5" w:rsidR="00AC2C14" w:rsidRDefault="00E21C3B" w:rsidP="00E21C3B">
      <w:pPr>
        <w:widowControl w:val="0"/>
        <w:jc w:val="both"/>
        <w:rPr>
          <w:rFonts w:ascii="Arial" w:hAnsi="Arial" w:cs="Arial"/>
        </w:rPr>
      </w:pPr>
      <w:r>
        <w:rPr>
          <w:rFonts w:ascii="Arial" w:hAnsi="Arial" w:cs="Arial"/>
        </w:rPr>
        <w:t xml:space="preserve">Both solid waste advisory committees </w:t>
      </w:r>
      <w:r w:rsidR="00292F72">
        <w:rPr>
          <w:rFonts w:ascii="Arial" w:hAnsi="Arial" w:cs="Arial"/>
        </w:rPr>
        <w:t xml:space="preserve">provided input in the development of the fee restructure proposal and </w:t>
      </w:r>
      <w:r>
        <w:rPr>
          <w:rFonts w:ascii="Arial" w:hAnsi="Arial" w:cs="Arial"/>
        </w:rPr>
        <w:t>provided advisory notes in support of the fee restructure proposal.</w:t>
      </w:r>
    </w:p>
    <w:p w14:paraId="3E440322" w14:textId="523913FB" w:rsidR="005903AD" w:rsidRDefault="005903AD" w:rsidP="00E21C3B">
      <w:pPr>
        <w:widowControl w:val="0"/>
        <w:jc w:val="both"/>
        <w:rPr>
          <w:rFonts w:ascii="Arial" w:hAnsi="Arial" w:cs="Arial"/>
        </w:rPr>
      </w:pPr>
    </w:p>
    <w:p w14:paraId="72C05BD9" w14:textId="44FF9CD6" w:rsidR="005903AD" w:rsidRPr="000B0C73" w:rsidRDefault="005903AD" w:rsidP="00E21C3B">
      <w:pPr>
        <w:widowControl w:val="0"/>
        <w:jc w:val="both"/>
        <w:rPr>
          <w:rFonts w:ascii="Arial" w:hAnsi="Arial" w:cs="Arial"/>
        </w:rPr>
      </w:pPr>
      <w:r w:rsidRPr="000B0C73">
        <w:rPr>
          <w:rFonts w:ascii="Arial" w:hAnsi="Arial" w:cs="Arial"/>
        </w:rPr>
        <w:t xml:space="preserve">The </w:t>
      </w:r>
      <w:r w:rsidR="00B41874" w:rsidRPr="000B0C73">
        <w:rPr>
          <w:rFonts w:ascii="Arial" w:hAnsi="Arial" w:cs="Arial"/>
        </w:rPr>
        <w:t xml:space="preserve">Budget and Fiscal Management Committee received a briefing on PO 2021-0449 on February </w:t>
      </w:r>
      <w:r w:rsidR="00503703" w:rsidRPr="000B0C73">
        <w:rPr>
          <w:rFonts w:ascii="Arial" w:hAnsi="Arial" w:cs="Arial"/>
        </w:rPr>
        <w:t>23, 20</w:t>
      </w:r>
      <w:r w:rsidR="000812E3" w:rsidRPr="000B0C73">
        <w:rPr>
          <w:rFonts w:ascii="Arial" w:hAnsi="Arial" w:cs="Arial"/>
        </w:rPr>
        <w:t>22.</w:t>
      </w:r>
    </w:p>
    <w:p w14:paraId="5C2520C3" w14:textId="77777777" w:rsidR="006D4045" w:rsidRDefault="006D4045" w:rsidP="00785660">
      <w:pPr>
        <w:jc w:val="both"/>
        <w:rPr>
          <w:rFonts w:ascii="Arial" w:hAnsi="Arial" w:cs="Arial"/>
          <w:b/>
          <w:u w:val="single"/>
        </w:rPr>
      </w:pPr>
    </w:p>
    <w:p w14:paraId="75D080A0" w14:textId="77777777" w:rsidR="006D4045" w:rsidRDefault="006D4045" w:rsidP="006D4045">
      <w:pPr>
        <w:keepNext/>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5AE35E87" w14:textId="5C9802FC" w:rsidR="006D4045" w:rsidRDefault="006D4045" w:rsidP="006D4045">
      <w:pPr>
        <w:keepNext/>
        <w:rPr>
          <w:rFonts w:ascii="Arial" w:hAnsi="Arial" w:cs="Arial"/>
        </w:rPr>
      </w:pPr>
    </w:p>
    <w:p w14:paraId="35344577" w14:textId="73AD891C" w:rsidR="00CA636A" w:rsidRDefault="00CA636A" w:rsidP="00FF3B74">
      <w:pPr>
        <w:widowControl w:val="0"/>
        <w:jc w:val="both"/>
        <w:rPr>
          <w:rFonts w:ascii="Arial" w:hAnsi="Arial" w:cs="Arial"/>
        </w:rPr>
      </w:pPr>
      <w:r>
        <w:rPr>
          <w:rFonts w:ascii="Arial" w:hAnsi="Arial" w:cs="Arial"/>
          <w:b/>
          <w:bCs/>
        </w:rPr>
        <w:t>Regional Solid Waste System Overview</w:t>
      </w:r>
      <w:r w:rsidR="00434FAA">
        <w:rPr>
          <w:rFonts w:ascii="Arial" w:hAnsi="Arial" w:cs="Arial"/>
          <w:b/>
          <w:bCs/>
        </w:rPr>
        <w:t xml:space="preserve"> and Finances</w:t>
      </w:r>
      <w:r>
        <w:rPr>
          <w:rFonts w:ascii="Arial" w:hAnsi="Arial" w:cs="Arial"/>
          <w:b/>
          <w:bCs/>
        </w:rPr>
        <w:t xml:space="preserve">. </w:t>
      </w:r>
      <w:r>
        <w:rPr>
          <w:rFonts w:ascii="Arial" w:hAnsi="Arial" w:cs="Arial"/>
        </w:rPr>
        <w:t>The King County Solid Waste Division (SWD) is responsible with providing solid waste planning, management, transfer, and disposal services through 2040 for 37 partner cities that have signed interlocal agreements (ILAs), a service area which encompasses approximately 1.5 million people.</w:t>
      </w:r>
      <w:r>
        <w:rPr>
          <w:rStyle w:val="FootnoteReference"/>
          <w:rFonts w:ascii="Arial" w:hAnsi="Arial" w:cs="Arial"/>
        </w:rPr>
        <w:footnoteReference w:id="3"/>
      </w:r>
      <w:r>
        <w:rPr>
          <w:rFonts w:ascii="Arial" w:hAnsi="Arial" w:cs="Arial"/>
        </w:rPr>
        <w:t xml:space="preserve"> SWD operates eight transfer stations and two drop boxes distributed throughout the region, the Cedar Hills Regional Landfill, and waste prevention and recycling programs for the unincorporated area and partner cities. </w:t>
      </w:r>
    </w:p>
    <w:p w14:paraId="3159AD90" w14:textId="77777777" w:rsidR="00CA636A" w:rsidRDefault="00CA636A" w:rsidP="00FF3B74">
      <w:pPr>
        <w:widowControl w:val="0"/>
        <w:jc w:val="both"/>
        <w:rPr>
          <w:rFonts w:ascii="Arial" w:hAnsi="Arial" w:cs="Arial"/>
        </w:rPr>
      </w:pPr>
    </w:p>
    <w:p w14:paraId="28F64711" w14:textId="4ABC1446" w:rsidR="003855E0" w:rsidRDefault="00051AFC" w:rsidP="00FF3B74">
      <w:pPr>
        <w:widowControl w:val="0"/>
        <w:jc w:val="both"/>
        <w:rPr>
          <w:rFonts w:ascii="Arial" w:hAnsi="Arial" w:cs="Arial"/>
        </w:rPr>
      </w:pPr>
      <w:r>
        <w:rPr>
          <w:rFonts w:ascii="Arial" w:hAnsi="Arial" w:cs="Arial"/>
        </w:rPr>
        <w:t>Under</w:t>
      </w:r>
      <w:r w:rsidR="00CA636A">
        <w:rPr>
          <w:rFonts w:ascii="Arial" w:hAnsi="Arial" w:cs="Arial"/>
        </w:rPr>
        <w:t xml:space="preserve"> </w:t>
      </w:r>
      <w:r w:rsidR="0043504F">
        <w:rPr>
          <w:rFonts w:ascii="Arial" w:hAnsi="Arial" w:cs="Arial"/>
        </w:rPr>
        <w:t>the</w:t>
      </w:r>
      <w:r w:rsidR="009C1371">
        <w:rPr>
          <w:rFonts w:ascii="Arial" w:hAnsi="Arial" w:cs="Arial"/>
        </w:rPr>
        <w:t xml:space="preserve"> </w:t>
      </w:r>
      <w:r w:rsidR="00CA636A">
        <w:rPr>
          <w:rFonts w:ascii="Arial" w:hAnsi="Arial" w:cs="Arial"/>
        </w:rPr>
        <w:t>IL</w:t>
      </w:r>
      <w:r w:rsidR="0043504F">
        <w:rPr>
          <w:rFonts w:ascii="Arial" w:hAnsi="Arial" w:cs="Arial"/>
        </w:rPr>
        <w:t>As</w:t>
      </w:r>
      <w:r w:rsidR="00CA636A">
        <w:rPr>
          <w:rFonts w:ascii="Arial" w:hAnsi="Arial" w:cs="Arial"/>
        </w:rPr>
        <w:t xml:space="preserve"> and state law,</w:t>
      </w:r>
      <w:r>
        <w:rPr>
          <w:rStyle w:val="FootnoteReference"/>
          <w:rFonts w:ascii="Arial" w:hAnsi="Arial" w:cs="Arial"/>
        </w:rPr>
        <w:footnoteReference w:id="4"/>
      </w:r>
      <w:r w:rsidR="00CA636A">
        <w:rPr>
          <w:rFonts w:ascii="Arial" w:hAnsi="Arial" w:cs="Arial"/>
        </w:rPr>
        <w:t xml:space="preserve"> the partner cities manage solid waste handling within their jurisdictions</w:t>
      </w:r>
      <w:r>
        <w:rPr>
          <w:rFonts w:ascii="Arial" w:hAnsi="Arial" w:cs="Arial"/>
        </w:rPr>
        <w:t xml:space="preserve">. </w:t>
      </w:r>
      <w:r w:rsidR="00C0334A">
        <w:rPr>
          <w:rFonts w:ascii="Arial" w:hAnsi="Arial" w:cs="Arial"/>
        </w:rPr>
        <w:t>Most cities contract with a</w:t>
      </w:r>
      <w:r w:rsidR="003E275B">
        <w:rPr>
          <w:rFonts w:ascii="Arial" w:hAnsi="Arial" w:cs="Arial"/>
        </w:rPr>
        <w:t xml:space="preserve"> commercial hauler</w:t>
      </w:r>
      <w:r w:rsidR="007049B9">
        <w:rPr>
          <w:rFonts w:ascii="Arial" w:hAnsi="Arial" w:cs="Arial"/>
        </w:rPr>
        <w:t xml:space="preserve"> </w:t>
      </w:r>
      <w:r w:rsidR="00C0334A">
        <w:rPr>
          <w:rFonts w:ascii="Arial" w:hAnsi="Arial" w:cs="Arial"/>
        </w:rPr>
        <w:t xml:space="preserve">for </w:t>
      </w:r>
      <w:r w:rsidR="00CA2E43">
        <w:rPr>
          <w:rFonts w:ascii="Arial" w:hAnsi="Arial" w:cs="Arial"/>
        </w:rPr>
        <w:t xml:space="preserve">curbside </w:t>
      </w:r>
      <w:r w:rsidR="00C0334A">
        <w:rPr>
          <w:rFonts w:ascii="Arial" w:hAnsi="Arial" w:cs="Arial"/>
        </w:rPr>
        <w:t>collection service within the city limits</w:t>
      </w:r>
      <w:r w:rsidR="00086DDE">
        <w:rPr>
          <w:rFonts w:ascii="Arial" w:hAnsi="Arial" w:cs="Arial"/>
        </w:rPr>
        <w:t xml:space="preserve"> and these haulers are r</w:t>
      </w:r>
      <w:r w:rsidR="00543367">
        <w:rPr>
          <w:rFonts w:ascii="Arial" w:hAnsi="Arial" w:cs="Arial"/>
        </w:rPr>
        <w:t>eferred to</w:t>
      </w:r>
      <w:r w:rsidR="007049B9">
        <w:rPr>
          <w:rFonts w:ascii="Arial" w:hAnsi="Arial" w:cs="Arial"/>
        </w:rPr>
        <w:t xml:space="preserve"> in King County Code as a </w:t>
      </w:r>
      <w:r w:rsidR="007049B9" w:rsidRPr="00292F72">
        <w:rPr>
          <w:rFonts w:ascii="Arial" w:hAnsi="Arial" w:cs="Arial"/>
          <w:i/>
          <w:iCs/>
        </w:rPr>
        <w:t>contract hauler</w:t>
      </w:r>
      <w:r w:rsidR="00B944FB">
        <w:rPr>
          <w:rFonts w:ascii="Arial" w:hAnsi="Arial" w:cs="Arial"/>
        </w:rPr>
        <w:t>.</w:t>
      </w:r>
      <w:r w:rsidR="00FB026A">
        <w:rPr>
          <w:rStyle w:val="FootnoteReference"/>
          <w:rFonts w:ascii="Arial" w:hAnsi="Arial" w:cs="Arial"/>
        </w:rPr>
        <w:footnoteReference w:id="5"/>
      </w:r>
      <w:r w:rsidR="00B944FB">
        <w:rPr>
          <w:rFonts w:ascii="Arial" w:hAnsi="Arial" w:cs="Arial"/>
        </w:rPr>
        <w:t xml:space="preserve"> </w:t>
      </w:r>
      <w:r w:rsidR="00663006">
        <w:rPr>
          <w:rFonts w:ascii="Arial" w:hAnsi="Arial" w:cs="Arial"/>
        </w:rPr>
        <w:t xml:space="preserve">Cities also may </w:t>
      </w:r>
      <w:r w:rsidR="009512F3">
        <w:rPr>
          <w:rFonts w:ascii="Arial" w:hAnsi="Arial" w:cs="Arial"/>
        </w:rPr>
        <w:t xml:space="preserve">do their own </w:t>
      </w:r>
      <w:r w:rsidR="00E06994">
        <w:rPr>
          <w:rFonts w:ascii="Arial" w:hAnsi="Arial" w:cs="Arial"/>
        </w:rPr>
        <w:t xml:space="preserve">waste collection with municipal employees. </w:t>
      </w:r>
      <w:r w:rsidR="00B944FB">
        <w:rPr>
          <w:rFonts w:ascii="Arial" w:hAnsi="Arial" w:cs="Arial"/>
        </w:rPr>
        <w:t>In the unincorporated area and in cities that have opted not to use their contracting authority</w:t>
      </w:r>
      <w:r w:rsidR="00543367">
        <w:rPr>
          <w:rFonts w:ascii="Arial" w:hAnsi="Arial" w:cs="Arial"/>
        </w:rPr>
        <w:t xml:space="preserve"> for collection services</w:t>
      </w:r>
      <w:r w:rsidR="00B944FB">
        <w:rPr>
          <w:rFonts w:ascii="Arial" w:hAnsi="Arial" w:cs="Arial"/>
        </w:rPr>
        <w:t xml:space="preserve">, </w:t>
      </w:r>
      <w:r w:rsidR="00543367">
        <w:rPr>
          <w:rFonts w:ascii="Arial" w:hAnsi="Arial" w:cs="Arial"/>
        </w:rPr>
        <w:t>curbside</w:t>
      </w:r>
      <w:r w:rsidR="00B944FB">
        <w:rPr>
          <w:rFonts w:ascii="Arial" w:hAnsi="Arial" w:cs="Arial"/>
        </w:rPr>
        <w:t xml:space="preserve"> services are provided by </w:t>
      </w:r>
      <w:r w:rsidR="007049B9">
        <w:rPr>
          <w:rFonts w:ascii="Arial" w:hAnsi="Arial" w:cs="Arial"/>
        </w:rPr>
        <w:t>commercial haulers</w:t>
      </w:r>
      <w:r w:rsidR="00B944FB">
        <w:rPr>
          <w:rFonts w:ascii="Arial" w:hAnsi="Arial" w:cs="Arial"/>
        </w:rPr>
        <w:t xml:space="preserve"> operating under certificates issued by the Washington Utilities and Transportation Commission (UTC)</w:t>
      </w:r>
      <w:r w:rsidR="00FB026A">
        <w:rPr>
          <w:rFonts w:ascii="Arial" w:hAnsi="Arial" w:cs="Arial"/>
        </w:rPr>
        <w:t xml:space="preserve">. These haulers are </w:t>
      </w:r>
      <w:r w:rsidR="00AB370E">
        <w:rPr>
          <w:rFonts w:ascii="Arial" w:hAnsi="Arial" w:cs="Arial"/>
        </w:rPr>
        <w:t>refe</w:t>
      </w:r>
      <w:r w:rsidR="006B3331">
        <w:rPr>
          <w:rFonts w:ascii="Arial" w:hAnsi="Arial" w:cs="Arial"/>
        </w:rPr>
        <w:t xml:space="preserve">rred to in King County Code as a </w:t>
      </w:r>
      <w:r w:rsidR="006B3331" w:rsidRPr="00292F72">
        <w:rPr>
          <w:rFonts w:ascii="Arial" w:hAnsi="Arial" w:cs="Arial"/>
          <w:i/>
          <w:iCs/>
        </w:rPr>
        <w:t>certificated hauler</w:t>
      </w:r>
      <w:r w:rsidR="00B944FB">
        <w:rPr>
          <w:rFonts w:ascii="Arial" w:hAnsi="Arial" w:cs="Arial"/>
        </w:rPr>
        <w:t>.</w:t>
      </w:r>
      <w:r w:rsidR="00FB026A">
        <w:rPr>
          <w:rStyle w:val="FootnoteReference"/>
          <w:rFonts w:ascii="Arial" w:hAnsi="Arial" w:cs="Arial"/>
        </w:rPr>
        <w:footnoteReference w:id="6"/>
      </w:r>
      <w:r w:rsidR="002E2AA7">
        <w:rPr>
          <w:rFonts w:ascii="Arial" w:hAnsi="Arial" w:cs="Arial"/>
        </w:rPr>
        <w:t xml:space="preserve"> </w:t>
      </w:r>
    </w:p>
    <w:p w14:paraId="4BE92628" w14:textId="020A4430" w:rsidR="00A9514B" w:rsidRDefault="00A9514B" w:rsidP="00FF3B74">
      <w:pPr>
        <w:widowControl w:val="0"/>
        <w:jc w:val="both"/>
        <w:rPr>
          <w:rFonts w:ascii="Arial" w:hAnsi="Arial" w:cs="Arial"/>
        </w:rPr>
      </w:pPr>
    </w:p>
    <w:p w14:paraId="25A6CEAE" w14:textId="4878C99B" w:rsidR="004B4E24" w:rsidRDefault="00CA636A" w:rsidP="00FF3B74">
      <w:pPr>
        <w:widowControl w:val="0"/>
        <w:jc w:val="both"/>
        <w:rPr>
          <w:rFonts w:ascii="Arial" w:hAnsi="Arial" w:cs="Arial"/>
        </w:rPr>
      </w:pPr>
      <w:r>
        <w:rPr>
          <w:rFonts w:ascii="Arial" w:hAnsi="Arial" w:cs="Arial"/>
        </w:rPr>
        <w:lastRenderedPageBreak/>
        <w:t>The County receives the solid waste at its transfer station</w:t>
      </w:r>
      <w:r w:rsidR="00BE4B60">
        <w:rPr>
          <w:rFonts w:ascii="Arial" w:hAnsi="Arial" w:cs="Arial"/>
        </w:rPr>
        <w:t>s</w:t>
      </w:r>
      <w:r>
        <w:rPr>
          <w:rFonts w:ascii="Arial" w:hAnsi="Arial" w:cs="Arial"/>
        </w:rPr>
        <w:t xml:space="preserve"> and drop boxes from </w:t>
      </w:r>
      <w:r w:rsidR="005A7C18">
        <w:rPr>
          <w:rFonts w:ascii="Arial" w:hAnsi="Arial" w:cs="Arial"/>
        </w:rPr>
        <w:t>commercial haulers</w:t>
      </w:r>
      <w:r>
        <w:rPr>
          <w:rFonts w:ascii="Arial" w:hAnsi="Arial" w:cs="Arial"/>
        </w:rPr>
        <w:t xml:space="preserve"> </w:t>
      </w:r>
      <w:r w:rsidR="001D3D4C">
        <w:rPr>
          <w:rFonts w:ascii="Arial" w:hAnsi="Arial" w:cs="Arial"/>
        </w:rPr>
        <w:t xml:space="preserve">such as certificated and contract haulers, as well as </w:t>
      </w:r>
      <w:r>
        <w:rPr>
          <w:rFonts w:ascii="Arial" w:hAnsi="Arial" w:cs="Arial"/>
        </w:rPr>
        <w:t xml:space="preserve">self-haul customers. These waste loads are consolidated, transferred onto trailers, and transported by truck by the County to the Cedar Hills Regional Landfill in unincorporated Maple Valley, which is owned and operated by King County. </w:t>
      </w:r>
    </w:p>
    <w:p w14:paraId="232E81DD" w14:textId="4A38CD2E" w:rsidR="00A2226F" w:rsidRDefault="00A2226F" w:rsidP="00FF3B74">
      <w:pPr>
        <w:widowControl w:val="0"/>
        <w:jc w:val="both"/>
        <w:rPr>
          <w:rFonts w:ascii="Arial" w:hAnsi="Arial" w:cs="Arial"/>
        </w:rPr>
      </w:pPr>
    </w:p>
    <w:p w14:paraId="5CDB110E" w14:textId="45A3F0CD" w:rsidR="001D3D4C" w:rsidRDefault="00205AD1" w:rsidP="00FF3B74">
      <w:pPr>
        <w:widowControl w:val="0"/>
        <w:jc w:val="both"/>
        <w:rPr>
          <w:rFonts w:ascii="Arial" w:hAnsi="Arial" w:cs="Arial"/>
        </w:rPr>
      </w:pPr>
      <w:r>
        <w:rPr>
          <w:rFonts w:ascii="Arial" w:hAnsi="Arial" w:cs="Arial"/>
        </w:rPr>
        <w:t>Executive staff indicate that t</w:t>
      </w:r>
      <w:r w:rsidR="00A2226F">
        <w:rPr>
          <w:rFonts w:ascii="Arial" w:hAnsi="Arial" w:cs="Arial"/>
        </w:rPr>
        <w:t>he County then sends disposal invoices each month to the city or hauler</w:t>
      </w:r>
      <w:r w:rsidR="00C01562">
        <w:rPr>
          <w:rFonts w:ascii="Arial" w:hAnsi="Arial" w:cs="Arial"/>
        </w:rPr>
        <w:t xml:space="preserve">, depending on the </w:t>
      </w:r>
      <w:r w:rsidR="00512BFB">
        <w:rPr>
          <w:rFonts w:ascii="Arial" w:hAnsi="Arial" w:cs="Arial"/>
        </w:rPr>
        <w:t xml:space="preserve">entity </w:t>
      </w:r>
      <w:r w:rsidR="00C01562">
        <w:rPr>
          <w:rFonts w:ascii="Arial" w:hAnsi="Arial" w:cs="Arial"/>
        </w:rPr>
        <w:t>responsib</w:t>
      </w:r>
      <w:r w:rsidR="00512BFB">
        <w:rPr>
          <w:rFonts w:ascii="Arial" w:hAnsi="Arial" w:cs="Arial"/>
        </w:rPr>
        <w:t>le for billing</w:t>
      </w:r>
      <w:r w:rsidR="00583BB2">
        <w:rPr>
          <w:rFonts w:ascii="Arial" w:hAnsi="Arial" w:cs="Arial"/>
        </w:rPr>
        <w:t xml:space="preserve"> customers directly</w:t>
      </w:r>
      <w:r w:rsidR="00512BFB">
        <w:rPr>
          <w:rFonts w:ascii="Arial" w:hAnsi="Arial" w:cs="Arial"/>
        </w:rPr>
        <w:t>,</w:t>
      </w:r>
      <w:r w:rsidR="00A2226F">
        <w:rPr>
          <w:rFonts w:ascii="Arial" w:hAnsi="Arial" w:cs="Arial"/>
        </w:rPr>
        <w:t xml:space="preserve"> for the tons of waste a hauler brings from a</w:t>
      </w:r>
      <w:r w:rsidR="007B791C">
        <w:rPr>
          <w:rFonts w:ascii="Arial" w:hAnsi="Arial" w:cs="Arial"/>
        </w:rPr>
        <w:t>n individual</w:t>
      </w:r>
      <w:r w:rsidR="00A2226F">
        <w:rPr>
          <w:rFonts w:ascii="Arial" w:hAnsi="Arial" w:cs="Arial"/>
        </w:rPr>
        <w:t xml:space="preserve"> city or unincorporated area to </w:t>
      </w:r>
      <w:r w:rsidR="009C3CA0">
        <w:rPr>
          <w:rFonts w:ascii="Arial" w:hAnsi="Arial" w:cs="Arial"/>
        </w:rPr>
        <w:t>either a County</w:t>
      </w:r>
      <w:r w:rsidR="00957ABE">
        <w:rPr>
          <w:rFonts w:ascii="Arial" w:hAnsi="Arial" w:cs="Arial"/>
        </w:rPr>
        <w:t xml:space="preserve">-operated </w:t>
      </w:r>
      <w:r w:rsidR="009C3CA0">
        <w:rPr>
          <w:rFonts w:ascii="Arial" w:hAnsi="Arial" w:cs="Arial"/>
        </w:rPr>
        <w:t>transfer station or directly to the landfill.</w:t>
      </w:r>
      <w:r>
        <w:rPr>
          <w:rFonts w:ascii="Arial" w:hAnsi="Arial" w:cs="Arial"/>
        </w:rPr>
        <w:t xml:space="preserve"> Haulers then pass those charges </w:t>
      </w:r>
      <w:r w:rsidR="00957ABE">
        <w:rPr>
          <w:rFonts w:ascii="Arial" w:hAnsi="Arial" w:cs="Arial"/>
        </w:rPr>
        <w:t>through to curbside customers in the</w:t>
      </w:r>
      <w:r w:rsidR="00E62912">
        <w:rPr>
          <w:rFonts w:ascii="Arial" w:hAnsi="Arial" w:cs="Arial"/>
        </w:rPr>
        <w:t xml:space="preserve">ir monthly bill. </w:t>
      </w:r>
      <w:r w:rsidR="00984764">
        <w:rPr>
          <w:rFonts w:ascii="Arial" w:hAnsi="Arial" w:cs="Arial"/>
        </w:rPr>
        <w:t>Table 1</w:t>
      </w:r>
      <w:r w:rsidR="001D3D4C">
        <w:rPr>
          <w:rFonts w:ascii="Arial" w:hAnsi="Arial" w:cs="Arial"/>
        </w:rPr>
        <w:t xml:space="preserve"> summarizes the potential collection and billing arrangements for both cities and the unincorporated areas.</w:t>
      </w:r>
    </w:p>
    <w:p w14:paraId="0B84AA98" w14:textId="5DDB5A8F" w:rsidR="00A2226F" w:rsidRDefault="00A2226F" w:rsidP="00FF3B74">
      <w:pPr>
        <w:widowControl w:val="0"/>
        <w:jc w:val="both"/>
        <w:rPr>
          <w:rFonts w:ascii="Arial" w:hAnsi="Arial" w:cs="Arial"/>
        </w:rPr>
      </w:pPr>
    </w:p>
    <w:p w14:paraId="56644596" w14:textId="0FD090C2" w:rsidR="00583BB2" w:rsidRDefault="00984764" w:rsidP="0048591D">
      <w:pPr>
        <w:widowControl w:val="0"/>
        <w:jc w:val="center"/>
        <w:rPr>
          <w:rFonts w:ascii="Arial" w:hAnsi="Arial" w:cs="Arial"/>
          <w:b/>
          <w:bCs/>
        </w:rPr>
      </w:pPr>
      <w:r>
        <w:rPr>
          <w:rFonts w:ascii="Arial" w:hAnsi="Arial" w:cs="Arial"/>
          <w:b/>
          <w:bCs/>
        </w:rPr>
        <w:t>Table 1</w:t>
      </w:r>
      <w:r w:rsidR="00583BB2">
        <w:rPr>
          <w:rFonts w:ascii="Arial" w:hAnsi="Arial" w:cs="Arial"/>
          <w:b/>
          <w:bCs/>
        </w:rPr>
        <w:t>.</w:t>
      </w:r>
    </w:p>
    <w:p w14:paraId="5FCE7D02" w14:textId="08413E82" w:rsidR="00583BB2" w:rsidRPr="00A9514B" w:rsidRDefault="00984764" w:rsidP="0048591D">
      <w:pPr>
        <w:widowControl w:val="0"/>
        <w:jc w:val="center"/>
        <w:rPr>
          <w:rFonts w:ascii="Arial" w:hAnsi="Arial" w:cs="Arial"/>
          <w:b/>
          <w:bCs/>
        </w:rPr>
      </w:pPr>
      <w:r>
        <w:rPr>
          <w:rFonts w:ascii="Arial" w:hAnsi="Arial" w:cs="Arial"/>
          <w:b/>
          <w:bCs/>
        </w:rPr>
        <w:t>Potential Collection and Billing Arrangements for Cities and the Unincorporated Area in the County's Solid Waste System</w:t>
      </w:r>
    </w:p>
    <w:p w14:paraId="0F9E96B0" w14:textId="77777777" w:rsidR="00583BB2" w:rsidRDefault="00583BB2" w:rsidP="00FF3B74">
      <w:pPr>
        <w:widowControl w:val="0"/>
        <w:jc w:val="both"/>
        <w:rPr>
          <w:rFonts w:ascii="Arial" w:hAnsi="Arial" w:cs="Arial"/>
        </w:rPr>
      </w:pPr>
    </w:p>
    <w:tbl>
      <w:tblPr>
        <w:tblStyle w:val="TableGrid"/>
        <w:tblW w:w="0" w:type="auto"/>
        <w:jc w:val="center"/>
        <w:tblLook w:val="04A0" w:firstRow="1" w:lastRow="0" w:firstColumn="1" w:lastColumn="0" w:noHBand="0" w:noVBand="1"/>
      </w:tblPr>
      <w:tblGrid>
        <w:gridCol w:w="1854"/>
        <w:gridCol w:w="4384"/>
        <w:gridCol w:w="2340"/>
      </w:tblGrid>
      <w:tr w:rsidR="00583BB2" w:rsidRPr="00E60BF0" w14:paraId="74DAC721" w14:textId="77777777" w:rsidTr="00BE6C01">
        <w:trPr>
          <w:jc w:val="center"/>
        </w:trPr>
        <w:tc>
          <w:tcPr>
            <w:tcW w:w="1854" w:type="dxa"/>
            <w:shd w:val="clear" w:color="auto" w:fill="000000" w:themeFill="text1"/>
          </w:tcPr>
          <w:p w14:paraId="52079310" w14:textId="77777777" w:rsidR="00583BB2" w:rsidRPr="00593574" w:rsidRDefault="00583BB2" w:rsidP="00984764">
            <w:pPr>
              <w:tabs>
                <w:tab w:val="left" w:pos="1540"/>
              </w:tabs>
              <w:rPr>
                <w:rFonts w:ascii="Arial" w:hAnsi="Arial" w:cs="Arial"/>
                <w:b/>
                <w:bCs/>
                <w:color w:val="FFFFFF" w:themeColor="background1"/>
                <w:sz w:val="22"/>
                <w:szCs w:val="22"/>
              </w:rPr>
            </w:pPr>
            <w:r>
              <w:rPr>
                <w:rFonts w:ascii="Arial" w:hAnsi="Arial" w:cs="Arial"/>
                <w:b/>
                <w:bCs/>
                <w:color w:val="FFFFFF" w:themeColor="background1"/>
                <w:sz w:val="22"/>
                <w:szCs w:val="22"/>
              </w:rPr>
              <w:t>City or Unincorporated Area</w:t>
            </w:r>
          </w:p>
        </w:tc>
        <w:tc>
          <w:tcPr>
            <w:tcW w:w="4384" w:type="dxa"/>
            <w:shd w:val="clear" w:color="auto" w:fill="000000" w:themeFill="text1"/>
          </w:tcPr>
          <w:p w14:paraId="07A19E57" w14:textId="77777777" w:rsidR="00583BB2" w:rsidRPr="00593574" w:rsidRDefault="00583BB2" w:rsidP="00984764">
            <w:pPr>
              <w:tabs>
                <w:tab w:val="left" w:pos="1540"/>
              </w:tabs>
              <w:rPr>
                <w:rFonts w:ascii="Arial" w:hAnsi="Arial" w:cs="Arial"/>
                <w:b/>
                <w:bCs/>
                <w:i/>
                <w:iCs/>
                <w:color w:val="FFFFFF" w:themeColor="background1"/>
                <w:sz w:val="22"/>
                <w:szCs w:val="22"/>
              </w:rPr>
            </w:pPr>
            <w:r>
              <w:rPr>
                <w:rFonts w:ascii="Arial" w:hAnsi="Arial" w:cs="Arial"/>
                <w:b/>
                <w:bCs/>
                <w:color w:val="FFFFFF" w:themeColor="background1"/>
                <w:sz w:val="22"/>
                <w:szCs w:val="22"/>
              </w:rPr>
              <w:t>Potential Providers of Curbside Collection Services</w:t>
            </w:r>
          </w:p>
        </w:tc>
        <w:tc>
          <w:tcPr>
            <w:tcW w:w="2340" w:type="dxa"/>
            <w:shd w:val="clear" w:color="auto" w:fill="000000" w:themeFill="text1"/>
          </w:tcPr>
          <w:p w14:paraId="5E4414B2" w14:textId="77777777" w:rsidR="00583BB2" w:rsidRPr="00593574" w:rsidRDefault="00583BB2" w:rsidP="00984764">
            <w:pPr>
              <w:tabs>
                <w:tab w:val="left" w:pos="1540"/>
              </w:tabs>
              <w:rPr>
                <w:rFonts w:ascii="Arial" w:hAnsi="Arial" w:cs="Arial"/>
                <w:b/>
                <w:bCs/>
                <w:color w:val="FFFFFF" w:themeColor="background1"/>
                <w:sz w:val="22"/>
                <w:szCs w:val="22"/>
              </w:rPr>
            </w:pPr>
            <w:r>
              <w:rPr>
                <w:rFonts w:ascii="Arial" w:hAnsi="Arial" w:cs="Arial"/>
                <w:b/>
                <w:bCs/>
                <w:color w:val="FFFFFF" w:themeColor="background1"/>
                <w:sz w:val="22"/>
                <w:szCs w:val="22"/>
              </w:rPr>
              <w:t>Entity Responsible for Billing Curbside Customers</w:t>
            </w:r>
          </w:p>
        </w:tc>
      </w:tr>
      <w:tr w:rsidR="00583BB2" w14:paraId="7B0E174C" w14:textId="77777777" w:rsidTr="00BE6C01">
        <w:trPr>
          <w:jc w:val="center"/>
        </w:trPr>
        <w:tc>
          <w:tcPr>
            <w:tcW w:w="1854" w:type="dxa"/>
            <w:vMerge w:val="restart"/>
          </w:tcPr>
          <w:p w14:paraId="08162E5C" w14:textId="77777777" w:rsidR="00583BB2" w:rsidRPr="00984764" w:rsidRDefault="00583BB2" w:rsidP="00984764">
            <w:pPr>
              <w:tabs>
                <w:tab w:val="left" w:pos="1540"/>
              </w:tabs>
              <w:rPr>
                <w:rFonts w:ascii="Arial" w:hAnsi="Arial" w:cs="Arial"/>
                <w:b/>
                <w:bCs/>
                <w:sz w:val="22"/>
                <w:szCs w:val="22"/>
              </w:rPr>
            </w:pPr>
            <w:r w:rsidRPr="00984764">
              <w:rPr>
                <w:rFonts w:ascii="Arial" w:hAnsi="Arial" w:cs="Arial"/>
                <w:b/>
                <w:bCs/>
                <w:sz w:val="22"/>
                <w:szCs w:val="22"/>
              </w:rPr>
              <w:t>City</w:t>
            </w:r>
          </w:p>
        </w:tc>
        <w:tc>
          <w:tcPr>
            <w:tcW w:w="4384" w:type="dxa"/>
          </w:tcPr>
          <w:p w14:paraId="55FD2C27" w14:textId="77777777" w:rsidR="00583BB2" w:rsidRPr="00267EBB" w:rsidRDefault="00583BB2" w:rsidP="00984764">
            <w:pPr>
              <w:tabs>
                <w:tab w:val="left" w:pos="1540"/>
              </w:tabs>
              <w:rPr>
                <w:rFonts w:ascii="Arial" w:hAnsi="Arial" w:cs="Arial"/>
                <w:sz w:val="22"/>
                <w:szCs w:val="22"/>
              </w:rPr>
            </w:pPr>
            <w:r>
              <w:rPr>
                <w:rFonts w:ascii="Arial" w:hAnsi="Arial" w:cs="Arial"/>
                <w:b/>
                <w:bCs/>
                <w:sz w:val="22"/>
                <w:szCs w:val="22"/>
              </w:rPr>
              <w:t xml:space="preserve">Contract Hauler. </w:t>
            </w:r>
            <w:r>
              <w:rPr>
                <w:rFonts w:ascii="Arial" w:hAnsi="Arial" w:cs="Arial"/>
                <w:sz w:val="22"/>
                <w:szCs w:val="22"/>
              </w:rPr>
              <w:t>City contracts with commercial hauler that provides service.</w:t>
            </w:r>
          </w:p>
        </w:tc>
        <w:tc>
          <w:tcPr>
            <w:tcW w:w="2340" w:type="dxa"/>
          </w:tcPr>
          <w:p w14:paraId="6C93BEDD" w14:textId="77777777" w:rsidR="00583BB2" w:rsidRPr="00593574" w:rsidRDefault="00583BB2" w:rsidP="00984764">
            <w:pPr>
              <w:tabs>
                <w:tab w:val="left" w:pos="1540"/>
              </w:tabs>
              <w:rPr>
                <w:rFonts w:ascii="Arial" w:hAnsi="Arial" w:cs="Arial"/>
                <w:sz w:val="22"/>
                <w:szCs w:val="22"/>
              </w:rPr>
            </w:pPr>
            <w:r>
              <w:rPr>
                <w:rFonts w:ascii="Arial" w:hAnsi="Arial" w:cs="Arial"/>
                <w:sz w:val="22"/>
                <w:szCs w:val="22"/>
              </w:rPr>
              <w:t>Contract Hauler or City</w:t>
            </w:r>
          </w:p>
        </w:tc>
      </w:tr>
      <w:tr w:rsidR="00583BB2" w14:paraId="30AD0CE6" w14:textId="77777777" w:rsidTr="00BE6C01">
        <w:trPr>
          <w:jc w:val="center"/>
        </w:trPr>
        <w:tc>
          <w:tcPr>
            <w:tcW w:w="1854" w:type="dxa"/>
            <w:vMerge/>
          </w:tcPr>
          <w:p w14:paraId="66A0B7EB" w14:textId="77777777" w:rsidR="00583BB2" w:rsidRDefault="00583BB2" w:rsidP="00984764">
            <w:pPr>
              <w:tabs>
                <w:tab w:val="left" w:pos="1540"/>
              </w:tabs>
              <w:rPr>
                <w:rFonts w:ascii="Arial" w:hAnsi="Arial" w:cs="Arial"/>
                <w:sz w:val="22"/>
                <w:szCs w:val="22"/>
              </w:rPr>
            </w:pPr>
          </w:p>
        </w:tc>
        <w:tc>
          <w:tcPr>
            <w:tcW w:w="4384" w:type="dxa"/>
          </w:tcPr>
          <w:p w14:paraId="3EBC8F35" w14:textId="77777777" w:rsidR="00583BB2" w:rsidRPr="00267EBB" w:rsidRDefault="00583BB2" w:rsidP="00984764">
            <w:pPr>
              <w:tabs>
                <w:tab w:val="left" w:pos="1540"/>
              </w:tabs>
              <w:rPr>
                <w:rFonts w:ascii="Arial" w:hAnsi="Arial" w:cs="Arial"/>
                <w:sz w:val="22"/>
                <w:szCs w:val="22"/>
              </w:rPr>
            </w:pPr>
            <w:r>
              <w:rPr>
                <w:rFonts w:ascii="Arial" w:hAnsi="Arial" w:cs="Arial"/>
                <w:b/>
                <w:bCs/>
                <w:sz w:val="22"/>
                <w:szCs w:val="22"/>
              </w:rPr>
              <w:t xml:space="preserve">Certificated Hauler. </w:t>
            </w:r>
            <w:r>
              <w:rPr>
                <w:rFonts w:ascii="Arial" w:hAnsi="Arial" w:cs="Arial"/>
                <w:sz w:val="22"/>
                <w:szCs w:val="22"/>
              </w:rPr>
              <w:t>City opts not to use contracting authority and service is provided by commercial haulers operating under certificates issued by the state UTC.</w:t>
            </w:r>
          </w:p>
        </w:tc>
        <w:tc>
          <w:tcPr>
            <w:tcW w:w="2340" w:type="dxa"/>
          </w:tcPr>
          <w:p w14:paraId="62CEC01D" w14:textId="77777777" w:rsidR="00583BB2" w:rsidRPr="00593574" w:rsidRDefault="00583BB2" w:rsidP="00984764">
            <w:pPr>
              <w:tabs>
                <w:tab w:val="left" w:pos="1540"/>
              </w:tabs>
              <w:rPr>
                <w:rFonts w:ascii="Arial" w:hAnsi="Arial" w:cs="Arial"/>
                <w:sz w:val="22"/>
                <w:szCs w:val="22"/>
              </w:rPr>
            </w:pPr>
            <w:r>
              <w:rPr>
                <w:rFonts w:ascii="Arial" w:hAnsi="Arial" w:cs="Arial"/>
                <w:sz w:val="22"/>
                <w:szCs w:val="22"/>
              </w:rPr>
              <w:t>Certificated Hauler</w:t>
            </w:r>
          </w:p>
        </w:tc>
      </w:tr>
      <w:tr w:rsidR="00583BB2" w14:paraId="19777FA5" w14:textId="77777777" w:rsidTr="00BE6C01">
        <w:trPr>
          <w:jc w:val="center"/>
        </w:trPr>
        <w:tc>
          <w:tcPr>
            <w:tcW w:w="1854" w:type="dxa"/>
            <w:vMerge/>
          </w:tcPr>
          <w:p w14:paraId="79D4B0C3" w14:textId="77777777" w:rsidR="00583BB2" w:rsidRDefault="00583BB2" w:rsidP="00984764">
            <w:pPr>
              <w:tabs>
                <w:tab w:val="left" w:pos="1540"/>
              </w:tabs>
              <w:rPr>
                <w:rFonts w:ascii="Arial" w:hAnsi="Arial" w:cs="Arial"/>
                <w:sz w:val="22"/>
                <w:szCs w:val="22"/>
              </w:rPr>
            </w:pPr>
          </w:p>
        </w:tc>
        <w:tc>
          <w:tcPr>
            <w:tcW w:w="4384" w:type="dxa"/>
          </w:tcPr>
          <w:p w14:paraId="6F8E278A" w14:textId="77777777" w:rsidR="00583BB2" w:rsidRPr="00374CC7" w:rsidRDefault="00583BB2" w:rsidP="00984764">
            <w:pPr>
              <w:tabs>
                <w:tab w:val="left" w:pos="1540"/>
              </w:tabs>
              <w:rPr>
                <w:rFonts w:ascii="Arial" w:hAnsi="Arial" w:cs="Arial"/>
                <w:sz w:val="22"/>
                <w:szCs w:val="22"/>
              </w:rPr>
            </w:pPr>
            <w:r>
              <w:rPr>
                <w:rFonts w:ascii="Arial" w:hAnsi="Arial" w:cs="Arial"/>
                <w:b/>
                <w:bCs/>
                <w:sz w:val="22"/>
                <w:szCs w:val="22"/>
              </w:rPr>
              <w:t xml:space="preserve">Municipal Hauler. </w:t>
            </w:r>
            <w:r>
              <w:rPr>
                <w:rFonts w:ascii="Arial" w:hAnsi="Arial" w:cs="Arial"/>
                <w:sz w:val="22"/>
                <w:szCs w:val="22"/>
              </w:rPr>
              <w:t>City provides service with own employees.</w:t>
            </w:r>
          </w:p>
        </w:tc>
        <w:tc>
          <w:tcPr>
            <w:tcW w:w="2340" w:type="dxa"/>
          </w:tcPr>
          <w:p w14:paraId="3B8FDF54" w14:textId="77777777" w:rsidR="00583BB2" w:rsidRPr="00593574" w:rsidRDefault="00583BB2" w:rsidP="00984764">
            <w:pPr>
              <w:tabs>
                <w:tab w:val="left" w:pos="1540"/>
              </w:tabs>
              <w:rPr>
                <w:rFonts w:ascii="Arial" w:hAnsi="Arial" w:cs="Arial"/>
                <w:sz w:val="22"/>
                <w:szCs w:val="22"/>
              </w:rPr>
            </w:pPr>
            <w:r>
              <w:rPr>
                <w:rFonts w:ascii="Arial" w:hAnsi="Arial" w:cs="Arial"/>
                <w:sz w:val="22"/>
                <w:szCs w:val="22"/>
              </w:rPr>
              <w:t>City</w:t>
            </w:r>
          </w:p>
        </w:tc>
      </w:tr>
      <w:tr w:rsidR="00583BB2" w14:paraId="5A2D1182" w14:textId="77777777" w:rsidTr="00BE6C01">
        <w:trPr>
          <w:jc w:val="center"/>
        </w:trPr>
        <w:tc>
          <w:tcPr>
            <w:tcW w:w="1854" w:type="dxa"/>
          </w:tcPr>
          <w:p w14:paraId="1868A686" w14:textId="77777777" w:rsidR="00583BB2" w:rsidRPr="00984764" w:rsidRDefault="00583BB2" w:rsidP="00984764">
            <w:pPr>
              <w:tabs>
                <w:tab w:val="left" w:pos="1540"/>
              </w:tabs>
              <w:rPr>
                <w:rFonts w:ascii="Arial" w:hAnsi="Arial" w:cs="Arial"/>
                <w:b/>
                <w:bCs/>
                <w:sz w:val="22"/>
                <w:szCs w:val="22"/>
              </w:rPr>
            </w:pPr>
            <w:r w:rsidRPr="00984764">
              <w:rPr>
                <w:rFonts w:ascii="Arial" w:hAnsi="Arial" w:cs="Arial"/>
                <w:b/>
                <w:bCs/>
                <w:sz w:val="22"/>
                <w:szCs w:val="22"/>
              </w:rPr>
              <w:t>Unincorporated Area</w:t>
            </w:r>
          </w:p>
        </w:tc>
        <w:tc>
          <w:tcPr>
            <w:tcW w:w="4384" w:type="dxa"/>
          </w:tcPr>
          <w:p w14:paraId="01C92465" w14:textId="77777777" w:rsidR="00583BB2" w:rsidRPr="00593574" w:rsidRDefault="00583BB2" w:rsidP="00984764">
            <w:pPr>
              <w:tabs>
                <w:tab w:val="left" w:pos="1540"/>
              </w:tabs>
              <w:rPr>
                <w:rFonts w:ascii="Arial" w:hAnsi="Arial" w:cs="Arial"/>
                <w:sz w:val="22"/>
                <w:szCs w:val="22"/>
              </w:rPr>
            </w:pPr>
            <w:r>
              <w:rPr>
                <w:rFonts w:ascii="Arial" w:hAnsi="Arial" w:cs="Arial"/>
                <w:b/>
                <w:bCs/>
                <w:sz w:val="22"/>
                <w:szCs w:val="22"/>
              </w:rPr>
              <w:t xml:space="preserve">Certificated Hauler. </w:t>
            </w:r>
            <w:r w:rsidRPr="00717AD7">
              <w:rPr>
                <w:rFonts w:ascii="Arial" w:hAnsi="Arial" w:cs="Arial"/>
                <w:sz w:val="22"/>
                <w:szCs w:val="22"/>
              </w:rPr>
              <w:t>S</w:t>
            </w:r>
            <w:r>
              <w:rPr>
                <w:rFonts w:ascii="Arial" w:hAnsi="Arial" w:cs="Arial"/>
                <w:sz w:val="22"/>
                <w:szCs w:val="22"/>
              </w:rPr>
              <w:t>ervice is provided by commercial haulers operating under certificates issued by the state UTC.</w:t>
            </w:r>
          </w:p>
        </w:tc>
        <w:tc>
          <w:tcPr>
            <w:tcW w:w="2340" w:type="dxa"/>
          </w:tcPr>
          <w:p w14:paraId="1C85F5A2" w14:textId="77777777" w:rsidR="00583BB2" w:rsidRPr="00593574" w:rsidRDefault="00583BB2" w:rsidP="00984764">
            <w:pPr>
              <w:tabs>
                <w:tab w:val="left" w:pos="1540"/>
              </w:tabs>
              <w:rPr>
                <w:rFonts w:ascii="Arial" w:hAnsi="Arial" w:cs="Arial"/>
                <w:sz w:val="22"/>
                <w:szCs w:val="22"/>
              </w:rPr>
            </w:pPr>
            <w:r>
              <w:rPr>
                <w:rFonts w:ascii="Arial" w:hAnsi="Arial" w:cs="Arial"/>
                <w:sz w:val="22"/>
                <w:szCs w:val="22"/>
              </w:rPr>
              <w:t>Certificated Hauler</w:t>
            </w:r>
          </w:p>
        </w:tc>
      </w:tr>
    </w:tbl>
    <w:p w14:paraId="0E0587EA" w14:textId="77777777" w:rsidR="00583BB2" w:rsidRDefault="00583BB2" w:rsidP="00FF3B74">
      <w:pPr>
        <w:widowControl w:val="0"/>
        <w:jc w:val="both"/>
        <w:rPr>
          <w:rFonts w:ascii="Arial" w:hAnsi="Arial" w:cs="Arial"/>
        </w:rPr>
      </w:pPr>
    </w:p>
    <w:p w14:paraId="31BE7633" w14:textId="77777777" w:rsidR="00660DC5" w:rsidRDefault="00EF1BED" w:rsidP="00FF3B74">
      <w:pPr>
        <w:widowControl w:val="0"/>
        <w:jc w:val="both"/>
        <w:rPr>
          <w:rFonts w:ascii="Arial" w:hAnsi="Arial" w:cs="Arial"/>
        </w:rPr>
      </w:pPr>
      <w:r>
        <w:rPr>
          <w:rFonts w:ascii="Arial" w:hAnsi="Arial" w:cs="Arial"/>
          <w:i/>
          <w:iCs/>
        </w:rPr>
        <w:t xml:space="preserve">Solid Waste System </w:t>
      </w:r>
      <w:r w:rsidR="000C43F6">
        <w:rPr>
          <w:rFonts w:ascii="Arial" w:hAnsi="Arial" w:cs="Arial"/>
          <w:i/>
          <w:iCs/>
        </w:rPr>
        <w:t>Fees</w:t>
      </w:r>
      <w:r>
        <w:rPr>
          <w:rFonts w:ascii="Arial" w:hAnsi="Arial" w:cs="Arial"/>
          <w:i/>
          <w:iCs/>
        </w:rPr>
        <w:t xml:space="preserve">. </w:t>
      </w:r>
      <w:r w:rsidR="00583BB2">
        <w:rPr>
          <w:rFonts w:ascii="Arial" w:hAnsi="Arial" w:cs="Arial"/>
        </w:rPr>
        <w:t>SWD</w:t>
      </w:r>
      <w:r w:rsidR="005B6E35">
        <w:rPr>
          <w:rFonts w:ascii="Arial" w:hAnsi="Arial" w:cs="Arial"/>
        </w:rPr>
        <w:t xml:space="preserve"> </w:t>
      </w:r>
      <w:r w:rsidR="00720AE4">
        <w:rPr>
          <w:rFonts w:ascii="Arial" w:hAnsi="Arial" w:cs="Arial"/>
        </w:rPr>
        <w:t xml:space="preserve">is an </w:t>
      </w:r>
      <w:r w:rsidR="00A20916">
        <w:rPr>
          <w:rFonts w:ascii="Arial" w:hAnsi="Arial" w:cs="Arial"/>
        </w:rPr>
        <w:t>enterprise fund</w:t>
      </w:r>
      <w:r w:rsidR="000674FA">
        <w:rPr>
          <w:rStyle w:val="FootnoteReference"/>
          <w:rFonts w:ascii="Arial" w:hAnsi="Arial" w:cs="Arial"/>
        </w:rPr>
        <w:footnoteReference w:id="7"/>
      </w:r>
      <w:r w:rsidR="00274CAD">
        <w:rPr>
          <w:rFonts w:ascii="Arial" w:hAnsi="Arial" w:cs="Arial"/>
        </w:rPr>
        <w:t xml:space="preserve"> agency </w:t>
      </w:r>
      <w:r w:rsidR="00154328">
        <w:rPr>
          <w:rFonts w:ascii="Arial" w:hAnsi="Arial" w:cs="Arial"/>
        </w:rPr>
        <w:t xml:space="preserve">currently </w:t>
      </w:r>
      <w:r w:rsidR="00CA636A">
        <w:rPr>
          <w:rFonts w:ascii="Arial" w:hAnsi="Arial" w:cs="Arial"/>
        </w:rPr>
        <w:t xml:space="preserve">supported by a variety of fees that are approved by the Council and that vary based on the type of material collected (e.g., solid waste, yard waste), the type of customer vehicle (e.g., certain vehicles pay a flat fee versus the per-ton fee), and the facility receiving the material (e.g., facilities with/without scales). </w:t>
      </w:r>
      <w:r w:rsidR="008A1DAB">
        <w:rPr>
          <w:rFonts w:ascii="Arial" w:hAnsi="Arial" w:cs="Arial"/>
        </w:rPr>
        <w:t xml:space="preserve">Customers who come to a King County solid waste facility are required to show proof they live or do business within the County's service area, which excludes </w:t>
      </w:r>
      <w:r w:rsidR="000545E7">
        <w:rPr>
          <w:rFonts w:ascii="Arial" w:hAnsi="Arial" w:cs="Arial"/>
        </w:rPr>
        <w:t xml:space="preserve">the cities of </w:t>
      </w:r>
      <w:r w:rsidR="008A1DAB">
        <w:rPr>
          <w:rFonts w:ascii="Arial" w:hAnsi="Arial" w:cs="Arial"/>
        </w:rPr>
        <w:t>Seattle and Milton.</w:t>
      </w:r>
      <w:r w:rsidR="008F3390">
        <w:rPr>
          <w:rFonts w:ascii="Arial" w:hAnsi="Arial" w:cs="Arial"/>
        </w:rPr>
        <w:t xml:space="preserve"> </w:t>
      </w:r>
    </w:p>
    <w:p w14:paraId="31485B10" w14:textId="77777777" w:rsidR="00660DC5" w:rsidRDefault="00660DC5" w:rsidP="00FF3B74">
      <w:pPr>
        <w:widowControl w:val="0"/>
        <w:jc w:val="both"/>
        <w:rPr>
          <w:rFonts w:ascii="Arial" w:hAnsi="Arial" w:cs="Arial"/>
        </w:rPr>
      </w:pPr>
    </w:p>
    <w:p w14:paraId="7134EF8A" w14:textId="72C9582B" w:rsidR="00E6434F" w:rsidRDefault="00995690" w:rsidP="00FF3B74">
      <w:pPr>
        <w:widowControl w:val="0"/>
        <w:jc w:val="both"/>
        <w:rPr>
          <w:rFonts w:ascii="Arial" w:hAnsi="Arial" w:cs="Arial"/>
          <w:b/>
          <w:szCs w:val="24"/>
        </w:rPr>
      </w:pPr>
      <w:r>
        <w:rPr>
          <w:rFonts w:ascii="Arial" w:hAnsi="Arial" w:cs="Arial"/>
        </w:rPr>
        <w:t xml:space="preserve">Table </w:t>
      </w:r>
      <w:r w:rsidR="00984764">
        <w:rPr>
          <w:rFonts w:ascii="Arial" w:hAnsi="Arial" w:cs="Arial"/>
        </w:rPr>
        <w:t>2</w:t>
      </w:r>
      <w:r w:rsidR="005E6F83">
        <w:rPr>
          <w:rFonts w:ascii="Arial" w:hAnsi="Arial" w:cs="Arial"/>
        </w:rPr>
        <w:t xml:space="preserve"> </w:t>
      </w:r>
      <w:r w:rsidR="000601ED">
        <w:rPr>
          <w:rFonts w:ascii="Arial" w:hAnsi="Arial" w:cs="Arial"/>
        </w:rPr>
        <w:t>lists</w:t>
      </w:r>
      <w:r w:rsidR="0063075B">
        <w:rPr>
          <w:rFonts w:ascii="Arial" w:hAnsi="Arial" w:cs="Arial"/>
        </w:rPr>
        <w:t xml:space="preserve"> </w:t>
      </w:r>
      <w:r w:rsidR="00556689">
        <w:rPr>
          <w:rFonts w:ascii="Arial" w:hAnsi="Arial" w:cs="Arial"/>
        </w:rPr>
        <w:t xml:space="preserve">the current </w:t>
      </w:r>
      <w:r w:rsidR="000601ED">
        <w:rPr>
          <w:rFonts w:ascii="Arial" w:hAnsi="Arial" w:cs="Arial"/>
        </w:rPr>
        <w:t xml:space="preserve">Council-adopted </w:t>
      </w:r>
      <w:r w:rsidR="00556689">
        <w:rPr>
          <w:rFonts w:ascii="Arial" w:hAnsi="Arial" w:cs="Arial"/>
        </w:rPr>
        <w:t>fee</w:t>
      </w:r>
      <w:r w:rsidR="00777C44">
        <w:rPr>
          <w:rFonts w:ascii="Arial" w:hAnsi="Arial" w:cs="Arial"/>
        </w:rPr>
        <w:t xml:space="preserve">s </w:t>
      </w:r>
      <w:r w:rsidR="007A1CC9">
        <w:rPr>
          <w:rFonts w:ascii="Arial" w:hAnsi="Arial" w:cs="Arial"/>
        </w:rPr>
        <w:t xml:space="preserve">for most materials </w:t>
      </w:r>
      <w:r w:rsidR="00250FC6">
        <w:rPr>
          <w:rFonts w:ascii="Arial" w:hAnsi="Arial" w:cs="Arial"/>
        </w:rPr>
        <w:t xml:space="preserve">that went into effect on January 1, </w:t>
      </w:r>
      <w:r w:rsidR="001F1472">
        <w:rPr>
          <w:rFonts w:ascii="Arial" w:hAnsi="Arial" w:cs="Arial"/>
        </w:rPr>
        <w:t>2022</w:t>
      </w:r>
      <w:r w:rsidR="009A571C">
        <w:rPr>
          <w:rFonts w:ascii="Arial" w:hAnsi="Arial" w:cs="Arial"/>
        </w:rPr>
        <w:t>.</w:t>
      </w:r>
      <w:r w:rsidR="005E6F83">
        <w:rPr>
          <w:rStyle w:val="FootnoteReference"/>
          <w:rFonts w:ascii="Arial" w:hAnsi="Arial" w:cs="Arial"/>
        </w:rPr>
        <w:footnoteReference w:id="8"/>
      </w:r>
      <w:r w:rsidR="007768EB">
        <w:rPr>
          <w:rFonts w:ascii="Arial" w:hAnsi="Arial" w:cs="Arial"/>
        </w:rPr>
        <w:t xml:space="preserve"> </w:t>
      </w:r>
    </w:p>
    <w:p w14:paraId="3C2CE902" w14:textId="2731939E" w:rsidR="00E6434F" w:rsidRDefault="00E6434F" w:rsidP="00995690">
      <w:pPr>
        <w:jc w:val="center"/>
        <w:rPr>
          <w:rFonts w:ascii="Arial" w:hAnsi="Arial" w:cs="Arial"/>
          <w:b/>
          <w:szCs w:val="24"/>
        </w:rPr>
      </w:pPr>
    </w:p>
    <w:p w14:paraId="33F8ECF7" w14:textId="6FA78E07" w:rsidR="00660DC5" w:rsidRDefault="00660DC5" w:rsidP="00995690">
      <w:pPr>
        <w:jc w:val="center"/>
        <w:rPr>
          <w:rFonts w:ascii="Arial" w:hAnsi="Arial" w:cs="Arial"/>
          <w:b/>
          <w:szCs w:val="24"/>
        </w:rPr>
      </w:pPr>
    </w:p>
    <w:p w14:paraId="0A009BA1" w14:textId="545F3758" w:rsidR="00660DC5" w:rsidRDefault="00660DC5" w:rsidP="00995690">
      <w:pPr>
        <w:jc w:val="center"/>
        <w:rPr>
          <w:rFonts w:ascii="Arial" w:hAnsi="Arial" w:cs="Arial"/>
          <w:b/>
          <w:szCs w:val="24"/>
        </w:rPr>
      </w:pPr>
    </w:p>
    <w:p w14:paraId="68D8A180" w14:textId="50BC320C" w:rsidR="00995690" w:rsidRDefault="00984764" w:rsidP="0048591D">
      <w:pPr>
        <w:jc w:val="center"/>
        <w:rPr>
          <w:rFonts w:ascii="Arial" w:hAnsi="Arial" w:cs="Arial"/>
          <w:b/>
          <w:szCs w:val="24"/>
        </w:rPr>
      </w:pPr>
      <w:r>
        <w:rPr>
          <w:rFonts w:ascii="Arial" w:hAnsi="Arial" w:cs="Arial"/>
          <w:b/>
          <w:szCs w:val="24"/>
        </w:rPr>
        <w:lastRenderedPageBreak/>
        <w:t>Table 2.</w:t>
      </w:r>
    </w:p>
    <w:p w14:paraId="59B89333" w14:textId="79483D04" w:rsidR="00995690" w:rsidRPr="001C4B19" w:rsidRDefault="00660DC5" w:rsidP="0048591D">
      <w:pPr>
        <w:jc w:val="center"/>
        <w:rPr>
          <w:rFonts w:ascii="Arial" w:hAnsi="Arial" w:cs="Arial"/>
          <w:b/>
          <w:szCs w:val="24"/>
        </w:rPr>
      </w:pPr>
      <w:r>
        <w:rPr>
          <w:rFonts w:ascii="Arial" w:hAnsi="Arial" w:cs="Arial"/>
          <w:b/>
          <w:szCs w:val="24"/>
        </w:rPr>
        <w:t>Current Council-Adopted Solid Waste Fees</w:t>
      </w:r>
    </w:p>
    <w:p w14:paraId="18F3F45B" w14:textId="77777777" w:rsidR="00995690" w:rsidRPr="001C4B19" w:rsidRDefault="00995690" w:rsidP="00FF3B74">
      <w:pPr>
        <w:jc w:val="both"/>
        <w:rPr>
          <w:rFonts w:ascii="Arial" w:hAnsi="Arial" w:cs="Arial"/>
          <w:b/>
          <w:szCs w:val="24"/>
        </w:rPr>
      </w:pPr>
    </w:p>
    <w:tbl>
      <w:tblPr>
        <w:tblStyle w:val="TableGrid"/>
        <w:tblW w:w="9428" w:type="dxa"/>
        <w:jc w:val="center"/>
        <w:tblLook w:val="04A0" w:firstRow="1" w:lastRow="0" w:firstColumn="1" w:lastColumn="0" w:noHBand="0" w:noVBand="1"/>
      </w:tblPr>
      <w:tblGrid>
        <w:gridCol w:w="1620"/>
        <w:gridCol w:w="2182"/>
        <w:gridCol w:w="3466"/>
        <w:gridCol w:w="2160"/>
      </w:tblGrid>
      <w:tr w:rsidR="00AB20F9" w:rsidRPr="000918DE" w14:paraId="1EB64AF4" w14:textId="77777777" w:rsidTr="00074A3E">
        <w:trPr>
          <w:jc w:val="center"/>
        </w:trPr>
        <w:tc>
          <w:tcPr>
            <w:tcW w:w="1620" w:type="dxa"/>
            <w:shd w:val="clear" w:color="auto" w:fill="000000" w:themeFill="text1"/>
            <w:vAlign w:val="bottom"/>
          </w:tcPr>
          <w:p w14:paraId="71FF56CC" w14:textId="77777777" w:rsidR="00AB20F9" w:rsidRPr="000918DE" w:rsidRDefault="00AB20F9" w:rsidP="001E3F82">
            <w:pPr>
              <w:widowControl w:val="0"/>
              <w:rPr>
                <w:rFonts w:ascii="Arial" w:hAnsi="Arial" w:cs="Arial"/>
                <w:b/>
                <w:color w:val="FFFFFF" w:themeColor="background1"/>
                <w:sz w:val="22"/>
                <w:szCs w:val="22"/>
              </w:rPr>
            </w:pPr>
            <w:r>
              <w:rPr>
                <w:rFonts w:ascii="Arial" w:hAnsi="Arial" w:cs="Arial"/>
                <w:b/>
                <w:color w:val="FFFFFF" w:themeColor="background1"/>
                <w:sz w:val="22"/>
                <w:szCs w:val="22"/>
              </w:rPr>
              <w:t>Facility Type</w:t>
            </w:r>
          </w:p>
        </w:tc>
        <w:tc>
          <w:tcPr>
            <w:tcW w:w="2182" w:type="dxa"/>
            <w:shd w:val="clear" w:color="auto" w:fill="000000" w:themeFill="text1"/>
            <w:vAlign w:val="bottom"/>
          </w:tcPr>
          <w:p w14:paraId="6BB1BDCD" w14:textId="77777777" w:rsidR="00AB20F9" w:rsidRPr="000918DE" w:rsidRDefault="00AB20F9" w:rsidP="001E3F82">
            <w:pPr>
              <w:widowControl w:val="0"/>
              <w:rPr>
                <w:rFonts w:ascii="Arial" w:hAnsi="Arial" w:cs="Arial"/>
                <w:b/>
                <w:color w:val="FFFFFF" w:themeColor="background1"/>
                <w:sz w:val="22"/>
                <w:szCs w:val="22"/>
              </w:rPr>
            </w:pPr>
            <w:r>
              <w:rPr>
                <w:rFonts w:ascii="Arial" w:hAnsi="Arial" w:cs="Arial"/>
                <w:b/>
                <w:color w:val="FFFFFF" w:themeColor="background1"/>
                <w:sz w:val="22"/>
                <w:szCs w:val="22"/>
              </w:rPr>
              <w:t>Material Type</w:t>
            </w:r>
          </w:p>
        </w:tc>
        <w:tc>
          <w:tcPr>
            <w:tcW w:w="3466" w:type="dxa"/>
            <w:shd w:val="clear" w:color="auto" w:fill="000000" w:themeFill="text1"/>
            <w:vAlign w:val="bottom"/>
          </w:tcPr>
          <w:p w14:paraId="1CCB5EAE" w14:textId="77777777" w:rsidR="00AB20F9" w:rsidRPr="000918DE" w:rsidRDefault="00AB20F9" w:rsidP="001E3F82">
            <w:pPr>
              <w:widowControl w:val="0"/>
              <w:rPr>
                <w:rFonts w:ascii="Arial" w:hAnsi="Arial" w:cs="Arial"/>
                <w:b/>
                <w:color w:val="FFFFFF" w:themeColor="background1"/>
                <w:sz w:val="22"/>
                <w:szCs w:val="22"/>
              </w:rPr>
            </w:pPr>
            <w:r>
              <w:rPr>
                <w:rFonts w:ascii="Arial" w:hAnsi="Arial" w:cs="Arial"/>
                <w:b/>
                <w:color w:val="FFFFFF" w:themeColor="background1"/>
                <w:sz w:val="22"/>
                <w:szCs w:val="22"/>
              </w:rPr>
              <w:t>Customer</w:t>
            </w:r>
            <w:r w:rsidRPr="000918DE">
              <w:rPr>
                <w:rFonts w:ascii="Arial" w:hAnsi="Arial" w:cs="Arial"/>
                <w:b/>
                <w:color w:val="FFFFFF" w:themeColor="background1"/>
                <w:sz w:val="22"/>
                <w:szCs w:val="22"/>
              </w:rPr>
              <w:t xml:space="preserve"> Type</w:t>
            </w:r>
          </w:p>
        </w:tc>
        <w:tc>
          <w:tcPr>
            <w:tcW w:w="2160" w:type="dxa"/>
            <w:shd w:val="clear" w:color="auto" w:fill="000000" w:themeFill="text1"/>
            <w:vAlign w:val="bottom"/>
          </w:tcPr>
          <w:p w14:paraId="40FC00C5" w14:textId="77777777" w:rsidR="00AB20F9" w:rsidRPr="000918DE" w:rsidRDefault="00AB20F9" w:rsidP="001E3F82">
            <w:pPr>
              <w:widowControl w:val="0"/>
              <w:rPr>
                <w:rFonts w:ascii="Arial" w:hAnsi="Arial" w:cs="Arial"/>
                <w:b/>
                <w:color w:val="FFFFFF" w:themeColor="background1"/>
                <w:sz w:val="22"/>
                <w:szCs w:val="22"/>
              </w:rPr>
            </w:pPr>
            <w:r w:rsidRPr="000918DE">
              <w:rPr>
                <w:rFonts w:ascii="Arial" w:hAnsi="Arial" w:cs="Arial"/>
                <w:b/>
                <w:color w:val="FFFFFF" w:themeColor="background1"/>
                <w:sz w:val="22"/>
                <w:szCs w:val="22"/>
              </w:rPr>
              <w:t>Current Fee</w:t>
            </w:r>
          </w:p>
        </w:tc>
      </w:tr>
      <w:tr w:rsidR="00AB20F9" w:rsidRPr="000918DE" w14:paraId="090DEF3D" w14:textId="77777777" w:rsidTr="00074A3E">
        <w:trPr>
          <w:jc w:val="center"/>
        </w:trPr>
        <w:tc>
          <w:tcPr>
            <w:tcW w:w="1620" w:type="dxa"/>
            <w:vMerge w:val="restart"/>
            <w:vAlign w:val="center"/>
          </w:tcPr>
          <w:p w14:paraId="52662DC2" w14:textId="77777777" w:rsidR="00AB20F9" w:rsidRPr="005C2F2B" w:rsidRDefault="00AB20F9" w:rsidP="001E3F82">
            <w:pPr>
              <w:widowControl w:val="0"/>
              <w:rPr>
                <w:rFonts w:ascii="Arial" w:hAnsi="Arial" w:cs="Arial"/>
                <w:b/>
                <w:sz w:val="22"/>
                <w:szCs w:val="22"/>
              </w:rPr>
            </w:pPr>
            <w:r>
              <w:rPr>
                <w:rFonts w:ascii="Arial" w:hAnsi="Arial" w:cs="Arial"/>
                <w:b/>
                <w:sz w:val="22"/>
                <w:szCs w:val="22"/>
              </w:rPr>
              <w:t xml:space="preserve">Fees for use of solid waste facilities </w:t>
            </w:r>
            <w:r w:rsidRPr="00631C97">
              <w:rPr>
                <w:rFonts w:ascii="Arial" w:hAnsi="Arial" w:cs="Arial"/>
                <w:b/>
                <w:sz w:val="22"/>
                <w:szCs w:val="22"/>
                <w:u w:val="single"/>
              </w:rPr>
              <w:t>with</w:t>
            </w:r>
            <w:r>
              <w:rPr>
                <w:rFonts w:ascii="Arial" w:hAnsi="Arial" w:cs="Arial"/>
                <w:b/>
                <w:sz w:val="22"/>
                <w:szCs w:val="22"/>
              </w:rPr>
              <w:t xml:space="preserve"> scales, except Cedar Hills</w:t>
            </w:r>
          </w:p>
        </w:tc>
        <w:tc>
          <w:tcPr>
            <w:tcW w:w="2182" w:type="dxa"/>
            <w:vMerge w:val="restart"/>
            <w:vAlign w:val="center"/>
          </w:tcPr>
          <w:p w14:paraId="34F65161" w14:textId="77777777" w:rsidR="00AB20F9" w:rsidRPr="005C2F2B" w:rsidRDefault="00AB20F9" w:rsidP="001E3F82">
            <w:pPr>
              <w:widowControl w:val="0"/>
              <w:rPr>
                <w:rFonts w:ascii="Arial" w:hAnsi="Arial" w:cs="Arial"/>
                <w:b/>
                <w:sz w:val="22"/>
                <w:szCs w:val="22"/>
              </w:rPr>
            </w:pPr>
            <w:r>
              <w:rPr>
                <w:rFonts w:ascii="Arial" w:hAnsi="Arial" w:cs="Arial"/>
                <w:b/>
                <w:sz w:val="22"/>
                <w:szCs w:val="22"/>
              </w:rPr>
              <w:t>Solid Waste</w:t>
            </w:r>
          </w:p>
        </w:tc>
        <w:tc>
          <w:tcPr>
            <w:tcW w:w="3466" w:type="dxa"/>
            <w:shd w:val="clear" w:color="auto" w:fill="auto"/>
            <w:vAlign w:val="center"/>
          </w:tcPr>
          <w:p w14:paraId="689CD146" w14:textId="5E0B56B6" w:rsidR="00AB20F9" w:rsidRDefault="00AB20F9" w:rsidP="001E3F82">
            <w:pPr>
              <w:widowControl w:val="0"/>
              <w:rPr>
                <w:rFonts w:ascii="Arial" w:hAnsi="Arial" w:cs="Arial"/>
                <w:sz w:val="22"/>
                <w:szCs w:val="22"/>
              </w:rPr>
            </w:pPr>
            <w:r w:rsidRPr="000918DE">
              <w:rPr>
                <w:rFonts w:ascii="Arial" w:hAnsi="Arial" w:cs="Arial"/>
                <w:sz w:val="22"/>
                <w:szCs w:val="22"/>
              </w:rPr>
              <w:t>Fixed</w:t>
            </w:r>
            <w:r>
              <w:rPr>
                <w:rFonts w:ascii="Arial" w:hAnsi="Arial" w:cs="Arial"/>
                <w:sz w:val="22"/>
                <w:szCs w:val="22"/>
              </w:rPr>
              <w:t>-rate vehicles</w:t>
            </w:r>
            <w:r w:rsidR="004E76D3">
              <w:rPr>
                <w:rStyle w:val="FootnoteReference"/>
                <w:rFonts w:ascii="Arial" w:hAnsi="Arial" w:cs="Arial"/>
                <w:sz w:val="22"/>
                <w:szCs w:val="22"/>
              </w:rPr>
              <w:footnoteReference w:id="9"/>
            </w:r>
          </w:p>
          <w:p w14:paraId="63155EDE" w14:textId="77777777" w:rsidR="00AB20F9" w:rsidRPr="000918DE" w:rsidRDefault="00AB20F9" w:rsidP="001E3F82">
            <w:pPr>
              <w:widowControl w:val="0"/>
              <w:rPr>
                <w:rFonts w:ascii="Arial" w:hAnsi="Arial" w:cs="Arial"/>
                <w:sz w:val="22"/>
                <w:szCs w:val="22"/>
              </w:rPr>
            </w:pPr>
            <w:r>
              <w:rPr>
                <w:rFonts w:ascii="Arial" w:hAnsi="Arial" w:cs="Arial"/>
                <w:sz w:val="22"/>
                <w:szCs w:val="22"/>
              </w:rPr>
              <w:t>(e.g., hatchback or sedan)</w:t>
            </w:r>
            <w:r w:rsidRPr="000918DE">
              <w:rPr>
                <w:rFonts w:ascii="Arial" w:hAnsi="Arial" w:cs="Arial"/>
                <w:sz w:val="22"/>
                <w:szCs w:val="22"/>
              </w:rPr>
              <w:t xml:space="preserve"> </w:t>
            </w:r>
          </w:p>
        </w:tc>
        <w:tc>
          <w:tcPr>
            <w:tcW w:w="2160" w:type="dxa"/>
            <w:shd w:val="clear" w:color="auto" w:fill="auto"/>
            <w:vAlign w:val="center"/>
          </w:tcPr>
          <w:p w14:paraId="45E54ED4" w14:textId="6E70BE7C" w:rsidR="00AB20F9" w:rsidRPr="000918DE" w:rsidRDefault="00BC1656" w:rsidP="001E3F82">
            <w:pPr>
              <w:widowControl w:val="0"/>
              <w:rPr>
                <w:rFonts w:ascii="Arial" w:hAnsi="Arial" w:cs="Arial"/>
                <w:sz w:val="22"/>
                <w:szCs w:val="22"/>
              </w:rPr>
            </w:pPr>
            <w:r>
              <w:rPr>
                <w:rFonts w:ascii="Arial" w:hAnsi="Arial" w:cs="Arial"/>
                <w:sz w:val="22"/>
                <w:szCs w:val="22"/>
              </w:rPr>
              <w:t>$24.</w:t>
            </w:r>
            <w:r w:rsidR="00CF72D8">
              <w:rPr>
                <w:rFonts w:ascii="Arial" w:hAnsi="Arial" w:cs="Arial"/>
                <w:sz w:val="22"/>
                <w:szCs w:val="22"/>
              </w:rPr>
              <w:t>64 per entry</w:t>
            </w:r>
          </w:p>
        </w:tc>
      </w:tr>
      <w:tr w:rsidR="00AB20F9" w:rsidRPr="000918DE" w14:paraId="166D3675" w14:textId="77777777" w:rsidTr="00074A3E">
        <w:trPr>
          <w:jc w:val="center"/>
        </w:trPr>
        <w:tc>
          <w:tcPr>
            <w:tcW w:w="1620" w:type="dxa"/>
            <w:vMerge/>
          </w:tcPr>
          <w:p w14:paraId="769FB0ED" w14:textId="77777777" w:rsidR="00AB20F9" w:rsidRPr="000918DE" w:rsidRDefault="00AB20F9" w:rsidP="001E3F82">
            <w:pPr>
              <w:widowControl w:val="0"/>
              <w:rPr>
                <w:rFonts w:ascii="Arial" w:hAnsi="Arial" w:cs="Arial"/>
                <w:sz w:val="22"/>
                <w:szCs w:val="22"/>
              </w:rPr>
            </w:pPr>
          </w:p>
        </w:tc>
        <w:tc>
          <w:tcPr>
            <w:tcW w:w="2182" w:type="dxa"/>
            <w:vMerge/>
            <w:vAlign w:val="center"/>
          </w:tcPr>
          <w:p w14:paraId="67537605" w14:textId="77777777" w:rsidR="00AB20F9" w:rsidRPr="000918DE" w:rsidRDefault="00AB20F9" w:rsidP="001E3F82">
            <w:pPr>
              <w:widowControl w:val="0"/>
              <w:rPr>
                <w:rFonts w:ascii="Arial" w:hAnsi="Arial" w:cs="Arial"/>
                <w:sz w:val="22"/>
                <w:szCs w:val="22"/>
              </w:rPr>
            </w:pPr>
          </w:p>
        </w:tc>
        <w:tc>
          <w:tcPr>
            <w:tcW w:w="3466" w:type="dxa"/>
            <w:shd w:val="clear" w:color="auto" w:fill="auto"/>
            <w:vAlign w:val="center"/>
          </w:tcPr>
          <w:p w14:paraId="07E39CD3" w14:textId="77777777" w:rsidR="00AB20F9" w:rsidRPr="000B12DF" w:rsidRDefault="00AB20F9" w:rsidP="001E3F82">
            <w:pPr>
              <w:widowControl w:val="0"/>
              <w:rPr>
                <w:rFonts w:ascii="Arial" w:hAnsi="Arial" w:cs="Arial"/>
                <w:b/>
                <w:bCs/>
                <w:sz w:val="22"/>
                <w:szCs w:val="22"/>
              </w:rPr>
            </w:pPr>
            <w:r>
              <w:rPr>
                <w:rFonts w:ascii="Arial" w:hAnsi="Arial" w:cs="Arial"/>
                <w:sz w:val="22"/>
                <w:szCs w:val="22"/>
              </w:rPr>
              <w:t>Per-ton-rate vehicles</w:t>
            </w:r>
          </w:p>
          <w:p w14:paraId="4203F98F" w14:textId="248A1232" w:rsidR="00AB20F9" w:rsidRPr="000918DE" w:rsidRDefault="00AB20F9" w:rsidP="001E3F82">
            <w:pPr>
              <w:widowControl w:val="0"/>
              <w:rPr>
                <w:rFonts w:ascii="Arial" w:hAnsi="Arial" w:cs="Arial"/>
                <w:sz w:val="22"/>
                <w:szCs w:val="22"/>
              </w:rPr>
            </w:pPr>
            <w:r>
              <w:rPr>
                <w:rFonts w:ascii="Arial" w:hAnsi="Arial" w:cs="Arial"/>
                <w:sz w:val="22"/>
                <w:szCs w:val="22"/>
              </w:rPr>
              <w:t>(e.g., minivans, wagons, SUVs, trucks)</w:t>
            </w:r>
            <w:r w:rsidR="00323930">
              <w:rPr>
                <w:rStyle w:val="FootnoteReference"/>
                <w:rFonts w:ascii="Arial" w:hAnsi="Arial" w:cs="Arial"/>
                <w:sz w:val="22"/>
                <w:szCs w:val="22"/>
              </w:rPr>
              <w:footnoteReference w:id="10"/>
            </w:r>
            <w:r>
              <w:rPr>
                <w:rFonts w:ascii="Arial" w:hAnsi="Arial" w:cs="Arial"/>
                <w:sz w:val="22"/>
                <w:szCs w:val="22"/>
              </w:rPr>
              <w:t xml:space="preserve"> </w:t>
            </w:r>
          </w:p>
        </w:tc>
        <w:tc>
          <w:tcPr>
            <w:tcW w:w="2160" w:type="dxa"/>
            <w:shd w:val="clear" w:color="auto" w:fill="auto"/>
            <w:vAlign w:val="center"/>
          </w:tcPr>
          <w:p w14:paraId="2D89B18D" w14:textId="7A40021A" w:rsidR="00AB20F9" w:rsidRPr="000918DE" w:rsidRDefault="00CF72D8" w:rsidP="001E3F82">
            <w:pPr>
              <w:widowControl w:val="0"/>
              <w:rPr>
                <w:rFonts w:ascii="Arial" w:hAnsi="Arial" w:cs="Arial"/>
                <w:sz w:val="22"/>
                <w:szCs w:val="22"/>
              </w:rPr>
            </w:pPr>
            <w:r>
              <w:rPr>
                <w:rFonts w:ascii="Arial" w:hAnsi="Arial" w:cs="Arial"/>
                <w:sz w:val="22"/>
                <w:szCs w:val="22"/>
              </w:rPr>
              <w:t>$154.02 per ton</w:t>
            </w:r>
          </w:p>
        </w:tc>
      </w:tr>
      <w:tr w:rsidR="00AB20F9" w:rsidRPr="000918DE" w14:paraId="5303B474" w14:textId="77777777" w:rsidTr="00074A3E">
        <w:trPr>
          <w:jc w:val="center"/>
        </w:trPr>
        <w:tc>
          <w:tcPr>
            <w:tcW w:w="1620" w:type="dxa"/>
            <w:vMerge/>
          </w:tcPr>
          <w:p w14:paraId="76CEDDDF" w14:textId="77777777" w:rsidR="00AB20F9" w:rsidRPr="000918DE" w:rsidRDefault="00AB20F9" w:rsidP="001E3F82">
            <w:pPr>
              <w:widowControl w:val="0"/>
              <w:rPr>
                <w:rFonts w:ascii="Arial" w:hAnsi="Arial" w:cs="Arial"/>
                <w:sz w:val="22"/>
                <w:szCs w:val="22"/>
              </w:rPr>
            </w:pPr>
          </w:p>
        </w:tc>
        <w:tc>
          <w:tcPr>
            <w:tcW w:w="2182" w:type="dxa"/>
            <w:vMerge/>
            <w:vAlign w:val="center"/>
          </w:tcPr>
          <w:p w14:paraId="7922BD21" w14:textId="77777777" w:rsidR="00AB20F9" w:rsidRPr="000918DE" w:rsidRDefault="00AB20F9" w:rsidP="001E3F82">
            <w:pPr>
              <w:widowControl w:val="0"/>
              <w:rPr>
                <w:rFonts w:ascii="Arial" w:hAnsi="Arial" w:cs="Arial"/>
                <w:sz w:val="22"/>
                <w:szCs w:val="22"/>
              </w:rPr>
            </w:pPr>
          </w:p>
        </w:tc>
        <w:tc>
          <w:tcPr>
            <w:tcW w:w="3466" w:type="dxa"/>
            <w:vAlign w:val="center"/>
          </w:tcPr>
          <w:p w14:paraId="44BE846A" w14:textId="77777777" w:rsidR="00AB20F9" w:rsidRPr="000918DE" w:rsidRDefault="00AB20F9" w:rsidP="001E3F82">
            <w:pPr>
              <w:widowControl w:val="0"/>
              <w:rPr>
                <w:rFonts w:ascii="Arial" w:hAnsi="Arial" w:cs="Arial"/>
                <w:sz w:val="22"/>
                <w:szCs w:val="22"/>
              </w:rPr>
            </w:pPr>
            <w:r>
              <w:rPr>
                <w:rFonts w:ascii="Arial" w:hAnsi="Arial" w:cs="Arial"/>
                <w:sz w:val="22"/>
                <w:szCs w:val="22"/>
              </w:rPr>
              <w:t>Charitable organizations</w:t>
            </w:r>
          </w:p>
        </w:tc>
        <w:tc>
          <w:tcPr>
            <w:tcW w:w="2160" w:type="dxa"/>
            <w:vAlign w:val="center"/>
          </w:tcPr>
          <w:p w14:paraId="5BEA9FDC" w14:textId="7CD7E393" w:rsidR="00AB20F9" w:rsidRPr="000918DE" w:rsidRDefault="00903DDA" w:rsidP="001E3F82">
            <w:pPr>
              <w:widowControl w:val="0"/>
              <w:rPr>
                <w:rFonts w:ascii="Arial" w:hAnsi="Arial" w:cs="Arial"/>
                <w:sz w:val="22"/>
                <w:szCs w:val="22"/>
              </w:rPr>
            </w:pPr>
            <w:r>
              <w:rPr>
                <w:rFonts w:ascii="Arial" w:hAnsi="Arial" w:cs="Arial"/>
                <w:sz w:val="22"/>
                <w:szCs w:val="22"/>
              </w:rPr>
              <w:t>$118.60 per ton</w:t>
            </w:r>
          </w:p>
        </w:tc>
      </w:tr>
      <w:tr w:rsidR="00AB20F9" w:rsidRPr="000918DE" w14:paraId="196E6F1C" w14:textId="77777777" w:rsidTr="00074A3E">
        <w:trPr>
          <w:jc w:val="center"/>
        </w:trPr>
        <w:tc>
          <w:tcPr>
            <w:tcW w:w="1620" w:type="dxa"/>
            <w:vMerge/>
          </w:tcPr>
          <w:p w14:paraId="502EB7CE" w14:textId="77777777" w:rsidR="00AB20F9" w:rsidRPr="000918DE" w:rsidRDefault="00AB20F9" w:rsidP="001E3F82">
            <w:pPr>
              <w:widowControl w:val="0"/>
              <w:rPr>
                <w:rFonts w:ascii="Arial" w:hAnsi="Arial" w:cs="Arial"/>
                <w:sz w:val="22"/>
                <w:szCs w:val="22"/>
              </w:rPr>
            </w:pPr>
          </w:p>
        </w:tc>
        <w:tc>
          <w:tcPr>
            <w:tcW w:w="2182" w:type="dxa"/>
            <w:vMerge/>
            <w:vAlign w:val="center"/>
          </w:tcPr>
          <w:p w14:paraId="2B4E48BB" w14:textId="77777777" w:rsidR="00AB20F9" w:rsidRPr="000918DE" w:rsidRDefault="00AB20F9" w:rsidP="001E3F82">
            <w:pPr>
              <w:widowControl w:val="0"/>
              <w:rPr>
                <w:rFonts w:ascii="Arial" w:hAnsi="Arial" w:cs="Arial"/>
                <w:sz w:val="22"/>
                <w:szCs w:val="22"/>
              </w:rPr>
            </w:pPr>
          </w:p>
        </w:tc>
        <w:tc>
          <w:tcPr>
            <w:tcW w:w="3466" w:type="dxa"/>
            <w:vAlign w:val="center"/>
          </w:tcPr>
          <w:p w14:paraId="7549012D" w14:textId="77777777" w:rsidR="00AB20F9" w:rsidRPr="000918DE" w:rsidRDefault="00AB20F9" w:rsidP="001E3F82">
            <w:pPr>
              <w:widowControl w:val="0"/>
              <w:rPr>
                <w:rFonts w:ascii="Arial" w:hAnsi="Arial" w:cs="Arial"/>
                <w:sz w:val="22"/>
                <w:szCs w:val="22"/>
              </w:rPr>
            </w:pPr>
            <w:r>
              <w:rPr>
                <w:rFonts w:ascii="Arial" w:hAnsi="Arial" w:cs="Arial"/>
                <w:sz w:val="22"/>
                <w:szCs w:val="22"/>
              </w:rPr>
              <w:t>Minimum (less than 320 lbs.)</w:t>
            </w:r>
          </w:p>
        </w:tc>
        <w:tc>
          <w:tcPr>
            <w:tcW w:w="2160" w:type="dxa"/>
            <w:vAlign w:val="center"/>
          </w:tcPr>
          <w:p w14:paraId="0CBF13FC" w14:textId="2B6A05CE" w:rsidR="00AB20F9" w:rsidRPr="000918DE" w:rsidRDefault="00903DDA" w:rsidP="001E3F82">
            <w:pPr>
              <w:widowControl w:val="0"/>
              <w:rPr>
                <w:rFonts w:ascii="Arial" w:hAnsi="Arial" w:cs="Arial"/>
                <w:sz w:val="22"/>
                <w:szCs w:val="22"/>
              </w:rPr>
            </w:pPr>
            <w:r>
              <w:rPr>
                <w:rFonts w:ascii="Arial" w:hAnsi="Arial" w:cs="Arial"/>
                <w:sz w:val="22"/>
                <w:szCs w:val="22"/>
              </w:rPr>
              <w:t>$24.64 per vehicle</w:t>
            </w:r>
          </w:p>
        </w:tc>
      </w:tr>
      <w:tr w:rsidR="00AB20F9" w:rsidRPr="000918DE" w14:paraId="5EBCFF3A" w14:textId="77777777" w:rsidTr="00074A3E">
        <w:trPr>
          <w:jc w:val="center"/>
        </w:trPr>
        <w:tc>
          <w:tcPr>
            <w:tcW w:w="1620" w:type="dxa"/>
            <w:vMerge/>
          </w:tcPr>
          <w:p w14:paraId="3CA9405E" w14:textId="77777777" w:rsidR="00AB20F9" w:rsidRPr="000918DE" w:rsidRDefault="00AB20F9" w:rsidP="001E3F82">
            <w:pPr>
              <w:widowControl w:val="0"/>
              <w:rPr>
                <w:rFonts w:ascii="Arial" w:hAnsi="Arial" w:cs="Arial"/>
                <w:sz w:val="22"/>
                <w:szCs w:val="22"/>
              </w:rPr>
            </w:pPr>
          </w:p>
        </w:tc>
        <w:tc>
          <w:tcPr>
            <w:tcW w:w="2182" w:type="dxa"/>
            <w:vMerge/>
            <w:vAlign w:val="center"/>
          </w:tcPr>
          <w:p w14:paraId="44171CA8" w14:textId="77777777" w:rsidR="00AB20F9" w:rsidRPr="000918DE" w:rsidRDefault="00AB20F9" w:rsidP="001E3F82">
            <w:pPr>
              <w:widowControl w:val="0"/>
              <w:rPr>
                <w:rFonts w:ascii="Arial" w:hAnsi="Arial" w:cs="Arial"/>
                <w:sz w:val="22"/>
                <w:szCs w:val="22"/>
              </w:rPr>
            </w:pPr>
          </w:p>
        </w:tc>
        <w:tc>
          <w:tcPr>
            <w:tcW w:w="3466" w:type="dxa"/>
            <w:vAlign w:val="center"/>
          </w:tcPr>
          <w:p w14:paraId="45B32FF3" w14:textId="77777777" w:rsidR="00AB20F9" w:rsidRPr="000918DE" w:rsidRDefault="00AB20F9" w:rsidP="001E3F82">
            <w:pPr>
              <w:widowControl w:val="0"/>
              <w:rPr>
                <w:rFonts w:ascii="Arial" w:hAnsi="Arial" w:cs="Arial"/>
                <w:sz w:val="22"/>
                <w:szCs w:val="22"/>
              </w:rPr>
            </w:pPr>
            <w:r>
              <w:rPr>
                <w:rFonts w:ascii="Arial" w:hAnsi="Arial" w:cs="Arial"/>
                <w:sz w:val="22"/>
                <w:szCs w:val="22"/>
              </w:rPr>
              <w:t>Charitable organizations -  minimum charge</w:t>
            </w:r>
          </w:p>
        </w:tc>
        <w:tc>
          <w:tcPr>
            <w:tcW w:w="2160" w:type="dxa"/>
            <w:vAlign w:val="center"/>
          </w:tcPr>
          <w:p w14:paraId="06434BBB" w14:textId="44AC1874" w:rsidR="00AB20F9" w:rsidRPr="000918DE" w:rsidRDefault="00E93C4B" w:rsidP="001E3F82">
            <w:pPr>
              <w:widowControl w:val="0"/>
              <w:rPr>
                <w:rFonts w:ascii="Arial" w:hAnsi="Arial" w:cs="Arial"/>
                <w:sz w:val="22"/>
                <w:szCs w:val="22"/>
              </w:rPr>
            </w:pPr>
            <w:r>
              <w:rPr>
                <w:rFonts w:ascii="Arial" w:hAnsi="Arial" w:cs="Arial"/>
                <w:sz w:val="22"/>
                <w:szCs w:val="22"/>
              </w:rPr>
              <w:t>$18.89 per entry</w:t>
            </w:r>
          </w:p>
        </w:tc>
      </w:tr>
      <w:tr w:rsidR="00AB20F9" w:rsidRPr="000918DE" w14:paraId="1572D2B3" w14:textId="77777777" w:rsidTr="00074A3E">
        <w:trPr>
          <w:jc w:val="center"/>
        </w:trPr>
        <w:tc>
          <w:tcPr>
            <w:tcW w:w="1620" w:type="dxa"/>
            <w:vMerge/>
          </w:tcPr>
          <w:p w14:paraId="13983A0D" w14:textId="77777777" w:rsidR="00AB20F9" w:rsidRDefault="00AB20F9" w:rsidP="001E3F82">
            <w:pPr>
              <w:widowControl w:val="0"/>
              <w:rPr>
                <w:rFonts w:ascii="Arial" w:hAnsi="Arial" w:cs="Arial"/>
                <w:b/>
                <w:sz w:val="22"/>
                <w:szCs w:val="22"/>
              </w:rPr>
            </w:pPr>
          </w:p>
        </w:tc>
        <w:tc>
          <w:tcPr>
            <w:tcW w:w="2182" w:type="dxa"/>
            <w:vMerge w:val="restart"/>
            <w:vAlign w:val="center"/>
          </w:tcPr>
          <w:p w14:paraId="51F7C05D" w14:textId="77777777" w:rsidR="00AB20F9" w:rsidRPr="005C2F2B" w:rsidRDefault="00AB20F9" w:rsidP="001E3F82">
            <w:pPr>
              <w:widowControl w:val="0"/>
              <w:rPr>
                <w:rFonts w:ascii="Arial" w:hAnsi="Arial" w:cs="Arial"/>
                <w:b/>
                <w:sz w:val="22"/>
                <w:szCs w:val="22"/>
              </w:rPr>
            </w:pPr>
            <w:r>
              <w:rPr>
                <w:rFonts w:ascii="Arial" w:hAnsi="Arial" w:cs="Arial"/>
                <w:b/>
                <w:sz w:val="22"/>
                <w:szCs w:val="22"/>
              </w:rPr>
              <w:t>Source-separated yard waste, clean wood waste, or any combination</w:t>
            </w:r>
          </w:p>
        </w:tc>
        <w:tc>
          <w:tcPr>
            <w:tcW w:w="3466" w:type="dxa"/>
            <w:vAlign w:val="center"/>
          </w:tcPr>
          <w:p w14:paraId="289BA01B" w14:textId="77777777" w:rsidR="00AB20F9" w:rsidRPr="000918DE" w:rsidRDefault="00AB20F9" w:rsidP="001E3F82">
            <w:pPr>
              <w:widowControl w:val="0"/>
              <w:rPr>
                <w:rFonts w:ascii="Arial" w:hAnsi="Arial" w:cs="Arial"/>
                <w:sz w:val="22"/>
                <w:szCs w:val="22"/>
              </w:rPr>
            </w:pPr>
            <w:r>
              <w:rPr>
                <w:rFonts w:ascii="Arial" w:hAnsi="Arial" w:cs="Arial"/>
                <w:sz w:val="22"/>
                <w:szCs w:val="22"/>
              </w:rPr>
              <w:t>Fixed-rate vehicles</w:t>
            </w:r>
          </w:p>
        </w:tc>
        <w:tc>
          <w:tcPr>
            <w:tcW w:w="2160" w:type="dxa"/>
            <w:vAlign w:val="center"/>
          </w:tcPr>
          <w:p w14:paraId="7559E9FF" w14:textId="02B72BD5" w:rsidR="00AB20F9" w:rsidRPr="000918DE" w:rsidRDefault="00E93C4B" w:rsidP="001E3F82">
            <w:pPr>
              <w:widowControl w:val="0"/>
              <w:rPr>
                <w:rFonts w:ascii="Arial" w:hAnsi="Arial" w:cs="Arial"/>
                <w:sz w:val="22"/>
                <w:szCs w:val="22"/>
              </w:rPr>
            </w:pPr>
            <w:r>
              <w:rPr>
                <w:rFonts w:ascii="Arial" w:hAnsi="Arial" w:cs="Arial"/>
                <w:sz w:val="22"/>
                <w:szCs w:val="22"/>
              </w:rPr>
              <w:t>$16.00 per entry</w:t>
            </w:r>
          </w:p>
        </w:tc>
      </w:tr>
      <w:tr w:rsidR="00AB20F9" w:rsidRPr="000918DE" w14:paraId="1B2A53D5" w14:textId="77777777" w:rsidTr="00074A3E">
        <w:trPr>
          <w:jc w:val="center"/>
        </w:trPr>
        <w:tc>
          <w:tcPr>
            <w:tcW w:w="1620" w:type="dxa"/>
            <w:vMerge/>
          </w:tcPr>
          <w:p w14:paraId="7109E8A1" w14:textId="77777777" w:rsidR="00AB20F9" w:rsidRPr="000918DE" w:rsidRDefault="00AB20F9" w:rsidP="001E3F82">
            <w:pPr>
              <w:widowControl w:val="0"/>
              <w:rPr>
                <w:rFonts w:ascii="Arial" w:hAnsi="Arial" w:cs="Arial"/>
                <w:sz w:val="22"/>
                <w:szCs w:val="22"/>
              </w:rPr>
            </w:pPr>
          </w:p>
        </w:tc>
        <w:tc>
          <w:tcPr>
            <w:tcW w:w="2182" w:type="dxa"/>
            <w:vMerge/>
            <w:vAlign w:val="center"/>
          </w:tcPr>
          <w:p w14:paraId="242E4CE5" w14:textId="77777777" w:rsidR="00AB20F9" w:rsidRPr="000918DE" w:rsidRDefault="00AB20F9" w:rsidP="001E3F82">
            <w:pPr>
              <w:widowControl w:val="0"/>
              <w:rPr>
                <w:rFonts w:ascii="Arial" w:hAnsi="Arial" w:cs="Arial"/>
                <w:sz w:val="22"/>
                <w:szCs w:val="22"/>
              </w:rPr>
            </w:pPr>
          </w:p>
        </w:tc>
        <w:tc>
          <w:tcPr>
            <w:tcW w:w="3466" w:type="dxa"/>
            <w:vAlign w:val="center"/>
          </w:tcPr>
          <w:p w14:paraId="1F48AFF4" w14:textId="77777777" w:rsidR="00AB20F9" w:rsidRPr="000918DE" w:rsidRDefault="00AB20F9" w:rsidP="001E3F82">
            <w:pPr>
              <w:widowControl w:val="0"/>
              <w:rPr>
                <w:rFonts w:ascii="Arial" w:hAnsi="Arial" w:cs="Arial"/>
                <w:sz w:val="22"/>
                <w:szCs w:val="22"/>
              </w:rPr>
            </w:pPr>
            <w:r>
              <w:rPr>
                <w:rFonts w:ascii="Arial" w:hAnsi="Arial" w:cs="Arial"/>
                <w:sz w:val="22"/>
                <w:szCs w:val="22"/>
              </w:rPr>
              <w:t>Per-ton rate vehicles</w:t>
            </w:r>
          </w:p>
        </w:tc>
        <w:tc>
          <w:tcPr>
            <w:tcW w:w="2160" w:type="dxa"/>
            <w:vAlign w:val="center"/>
          </w:tcPr>
          <w:p w14:paraId="4292F769" w14:textId="6491C9F9" w:rsidR="00AB20F9" w:rsidRPr="000918DE" w:rsidRDefault="00E93C4B" w:rsidP="001E3F82">
            <w:pPr>
              <w:widowControl w:val="0"/>
              <w:rPr>
                <w:rFonts w:ascii="Arial" w:hAnsi="Arial" w:cs="Arial"/>
                <w:sz w:val="22"/>
                <w:szCs w:val="22"/>
              </w:rPr>
            </w:pPr>
            <w:r>
              <w:rPr>
                <w:rFonts w:ascii="Arial" w:hAnsi="Arial" w:cs="Arial"/>
                <w:sz w:val="22"/>
                <w:szCs w:val="22"/>
              </w:rPr>
              <w:t>$100.00 per ton</w:t>
            </w:r>
          </w:p>
        </w:tc>
      </w:tr>
      <w:tr w:rsidR="00AB20F9" w14:paraId="5D77ECD2" w14:textId="77777777" w:rsidTr="00074A3E">
        <w:trPr>
          <w:jc w:val="center"/>
        </w:trPr>
        <w:tc>
          <w:tcPr>
            <w:tcW w:w="1620" w:type="dxa"/>
            <w:vMerge/>
          </w:tcPr>
          <w:p w14:paraId="41DEE04E" w14:textId="77777777" w:rsidR="00AB20F9" w:rsidRPr="000918DE" w:rsidRDefault="00AB20F9" w:rsidP="001E3F82">
            <w:pPr>
              <w:widowControl w:val="0"/>
              <w:rPr>
                <w:rFonts w:ascii="Arial" w:hAnsi="Arial" w:cs="Arial"/>
                <w:sz w:val="22"/>
                <w:szCs w:val="22"/>
              </w:rPr>
            </w:pPr>
          </w:p>
        </w:tc>
        <w:tc>
          <w:tcPr>
            <w:tcW w:w="2182" w:type="dxa"/>
            <w:vMerge/>
            <w:vAlign w:val="center"/>
          </w:tcPr>
          <w:p w14:paraId="1E4FE695" w14:textId="77777777" w:rsidR="00AB20F9" w:rsidRPr="000918DE" w:rsidRDefault="00AB20F9" w:rsidP="001E3F82">
            <w:pPr>
              <w:widowControl w:val="0"/>
              <w:rPr>
                <w:rFonts w:ascii="Arial" w:hAnsi="Arial" w:cs="Arial"/>
                <w:sz w:val="22"/>
                <w:szCs w:val="22"/>
              </w:rPr>
            </w:pPr>
          </w:p>
        </w:tc>
        <w:tc>
          <w:tcPr>
            <w:tcW w:w="3466" w:type="dxa"/>
            <w:vAlign w:val="center"/>
          </w:tcPr>
          <w:p w14:paraId="7A4D9839" w14:textId="77777777" w:rsidR="00AB20F9" w:rsidRDefault="00AB20F9" w:rsidP="001E3F82">
            <w:pPr>
              <w:widowControl w:val="0"/>
              <w:rPr>
                <w:rFonts w:ascii="Arial" w:hAnsi="Arial" w:cs="Arial"/>
                <w:sz w:val="22"/>
                <w:szCs w:val="22"/>
              </w:rPr>
            </w:pPr>
            <w:r>
              <w:rPr>
                <w:rFonts w:ascii="Arial" w:hAnsi="Arial" w:cs="Arial"/>
                <w:sz w:val="22"/>
                <w:szCs w:val="22"/>
              </w:rPr>
              <w:t>Minimum (less than 320 lbs.)</w:t>
            </w:r>
          </w:p>
        </w:tc>
        <w:tc>
          <w:tcPr>
            <w:tcW w:w="2160" w:type="dxa"/>
            <w:vAlign w:val="center"/>
          </w:tcPr>
          <w:p w14:paraId="0DD5C875" w14:textId="5AEF84CB" w:rsidR="00AB20F9" w:rsidRDefault="006254CC" w:rsidP="001E3F82">
            <w:pPr>
              <w:widowControl w:val="0"/>
              <w:rPr>
                <w:rFonts w:ascii="Arial" w:hAnsi="Arial" w:cs="Arial"/>
                <w:sz w:val="22"/>
                <w:szCs w:val="22"/>
              </w:rPr>
            </w:pPr>
            <w:r>
              <w:rPr>
                <w:rFonts w:ascii="Arial" w:hAnsi="Arial" w:cs="Arial"/>
                <w:sz w:val="22"/>
                <w:szCs w:val="22"/>
              </w:rPr>
              <w:t>$16.00 per vehicle</w:t>
            </w:r>
          </w:p>
        </w:tc>
      </w:tr>
      <w:tr w:rsidR="00AB20F9" w:rsidRPr="000918DE" w14:paraId="7F832F55" w14:textId="77777777" w:rsidTr="00074A3E">
        <w:trPr>
          <w:trHeight w:val="855"/>
          <w:jc w:val="center"/>
        </w:trPr>
        <w:tc>
          <w:tcPr>
            <w:tcW w:w="1620" w:type="dxa"/>
            <w:vMerge/>
          </w:tcPr>
          <w:p w14:paraId="5CC51698" w14:textId="77777777" w:rsidR="00AB20F9" w:rsidRDefault="00AB20F9" w:rsidP="001E3F82">
            <w:pPr>
              <w:widowControl w:val="0"/>
              <w:rPr>
                <w:rFonts w:ascii="Arial" w:hAnsi="Arial" w:cs="Arial"/>
                <w:b/>
                <w:sz w:val="22"/>
                <w:szCs w:val="22"/>
              </w:rPr>
            </w:pPr>
          </w:p>
        </w:tc>
        <w:tc>
          <w:tcPr>
            <w:tcW w:w="2182" w:type="dxa"/>
            <w:vAlign w:val="center"/>
          </w:tcPr>
          <w:p w14:paraId="1000AB0D" w14:textId="77777777" w:rsidR="00AB20F9" w:rsidRPr="000165C8" w:rsidRDefault="00AB20F9" w:rsidP="001E3F82">
            <w:pPr>
              <w:widowControl w:val="0"/>
              <w:rPr>
                <w:rFonts w:ascii="Arial" w:hAnsi="Arial" w:cs="Arial"/>
                <w:b/>
                <w:sz w:val="22"/>
                <w:szCs w:val="22"/>
              </w:rPr>
            </w:pPr>
            <w:r>
              <w:rPr>
                <w:rFonts w:ascii="Arial" w:hAnsi="Arial" w:cs="Arial"/>
                <w:b/>
                <w:sz w:val="22"/>
                <w:szCs w:val="22"/>
              </w:rPr>
              <w:t>Major appliances (formerly referred to in past fee ordinances as “white goods”)</w:t>
            </w:r>
          </w:p>
        </w:tc>
        <w:tc>
          <w:tcPr>
            <w:tcW w:w="3466" w:type="dxa"/>
            <w:vAlign w:val="center"/>
          </w:tcPr>
          <w:p w14:paraId="04AEBF6F" w14:textId="77777777" w:rsidR="00AB20F9" w:rsidRDefault="00AB20F9" w:rsidP="001E3F82">
            <w:pPr>
              <w:widowControl w:val="0"/>
              <w:rPr>
                <w:rFonts w:ascii="Arial" w:hAnsi="Arial" w:cs="Arial"/>
                <w:sz w:val="22"/>
                <w:szCs w:val="22"/>
              </w:rPr>
            </w:pPr>
            <w:r>
              <w:rPr>
                <w:rFonts w:ascii="Arial" w:hAnsi="Arial" w:cs="Arial"/>
                <w:sz w:val="22"/>
                <w:szCs w:val="22"/>
              </w:rPr>
              <w:t>Major appliances with refrigerants (formerly “White goods” with refrigerants)</w:t>
            </w:r>
          </w:p>
        </w:tc>
        <w:tc>
          <w:tcPr>
            <w:tcW w:w="2160" w:type="dxa"/>
            <w:vAlign w:val="center"/>
          </w:tcPr>
          <w:p w14:paraId="3EF2B128" w14:textId="0A189264" w:rsidR="00AB20F9" w:rsidRPr="000918DE" w:rsidRDefault="00F5004A" w:rsidP="001E3F82">
            <w:pPr>
              <w:widowControl w:val="0"/>
              <w:rPr>
                <w:rFonts w:ascii="Arial" w:hAnsi="Arial" w:cs="Arial"/>
                <w:sz w:val="22"/>
                <w:szCs w:val="22"/>
              </w:rPr>
            </w:pPr>
            <w:r>
              <w:rPr>
                <w:rFonts w:ascii="Arial" w:hAnsi="Arial" w:cs="Arial"/>
                <w:sz w:val="22"/>
                <w:szCs w:val="22"/>
              </w:rPr>
              <w:t>$30.00 per unit</w:t>
            </w:r>
          </w:p>
        </w:tc>
      </w:tr>
      <w:tr w:rsidR="00AB20F9" w:rsidRPr="003F520D" w14:paraId="5F3664B6" w14:textId="77777777" w:rsidTr="00074A3E">
        <w:trPr>
          <w:trHeight w:val="854"/>
          <w:jc w:val="center"/>
        </w:trPr>
        <w:tc>
          <w:tcPr>
            <w:tcW w:w="1620" w:type="dxa"/>
            <w:vMerge/>
            <w:tcBorders>
              <w:bottom w:val="single" w:sz="18" w:space="0" w:color="auto"/>
            </w:tcBorders>
          </w:tcPr>
          <w:p w14:paraId="66BBCDFB" w14:textId="77777777" w:rsidR="00AB20F9" w:rsidRDefault="00AB20F9" w:rsidP="001E3F82">
            <w:pPr>
              <w:widowControl w:val="0"/>
              <w:rPr>
                <w:rFonts w:ascii="Arial" w:hAnsi="Arial" w:cs="Arial"/>
                <w:b/>
                <w:sz w:val="22"/>
                <w:szCs w:val="22"/>
              </w:rPr>
            </w:pPr>
          </w:p>
        </w:tc>
        <w:tc>
          <w:tcPr>
            <w:tcW w:w="2182" w:type="dxa"/>
            <w:tcBorders>
              <w:bottom w:val="single" w:sz="18" w:space="0" w:color="auto"/>
            </w:tcBorders>
            <w:vAlign w:val="center"/>
          </w:tcPr>
          <w:p w14:paraId="4DDA0AFF" w14:textId="77777777" w:rsidR="00AB20F9" w:rsidRPr="0061756A" w:rsidRDefault="00AB20F9" w:rsidP="001E3F82">
            <w:pPr>
              <w:widowControl w:val="0"/>
              <w:rPr>
                <w:rFonts w:ascii="Arial" w:hAnsi="Arial" w:cs="Arial"/>
                <w:bCs/>
                <w:sz w:val="22"/>
                <w:szCs w:val="22"/>
              </w:rPr>
            </w:pPr>
            <w:r>
              <w:rPr>
                <w:rFonts w:ascii="Arial" w:hAnsi="Arial" w:cs="Arial"/>
                <w:b/>
                <w:sz w:val="22"/>
                <w:szCs w:val="22"/>
              </w:rPr>
              <w:t>Mattresses</w:t>
            </w:r>
          </w:p>
        </w:tc>
        <w:tc>
          <w:tcPr>
            <w:tcW w:w="3466" w:type="dxa"/>
            <w:tcBorders>
              <w:bottom w:val="single" w:sz="18" w:space="0" w:color="auto"/>
            </w:tcBorders>
            <w:vAlign w:val="center"/>
          </w:tcPr>
          <w:p w14:paraId="40E4B94B" w14:textId="6359B325" w:rsidR="00AB20F9" w:rsidRPr="003F520D" w:rsidRDefault="00AB20F9" w:rsidP="001E3F82">
            <w:pPr>
              <w:widowControl w:val="0"/>
              <w:rPr>
                <w:rFonts w:ascii="Arial" w:hAnsi="Arial" w:cs="Arial"/>
                <w:bCs/>
                <w:sz w:val="22"/>
                <w:szCs w:val="22"/>
              </w:rPr>
            </w:pPr>
            <w:r>
              <w:rPr>
                <w:rFonts w:ascii="Arial" w:hAnsi="Arial" w:cs="Arial"/>
                <w:bCs/>
                <w:sz w:val="22"/>
                <w:szCs w:val="22"/>
              </w:rPr>
              <w:t>Fixed-rate vehicles and per-ton-rate vehicles</w:t>
            </w:r>
            <w:r w:rsidR="00660DC5">
              <w:rPr>
                <w:rFonts w:ascii="Arial" w:hAnsi="Arial" w:cs="Arial"/>
                <w:bCs/>
                <w:sz w:val="22"/>
                <w:szCs w:val="22"/>
              </w:rPr>
              <w:t xml:space="preserve"> </w:t>
            </w:r>
          </w:p>
        </w:tc>
        <w:tc>
          <w:tcPr>
            <w:tcW w:w="2160" w:type="dxa"/>
            <w:tcBorders>
              <w:bottom w:val="single" w:sz="18" w:space="0" w:color="auto"/>
            </w:tcBorders>
            <w:vAlign w:val="center"/>
          </w:tcPr>
          <w:p w14:paraId="21A5583A" w14:textId="6BB6AAF6" w:rsidR="00AB20F9" w:rsidRPr="003F520D" w:rsidRDefault="00F5004A" w:rsidP="001E3F82">
            <w:pPr>
              <w:widowControl w:val="0"/>
              <w:rPr>
                <w:rFonts w:ascii="Arial" w:hAnsi="Arial" w:cs="Arial"/>
                <w:bCs/>
                <w:sz w:val="22"/>
                <w:szCs w:val="22"/>
              </w:rPr>
            </w:pPr>
            <w:r>
              <w:rPr>
                <w:rFonts w:ascii="Arial" w:hAnsi="Arial" w:cs="Arial"/>
                <w:bCs/>
                <w:sz w:val="22"/>
                <w:szCs w:val="22"/>
              </w:rPr>
              <w:t>$30.00 per unit</w:t>
            </w:r>
          </w:p>
        </w:tc>
      </w:tr>
      <w:tr w:rsidR="00AB20F9" w14:paraId="1E2C0CA5" w14:textId="77777777" w:rsidTr="00074A3E">
        <w:trPr>
          <w:jc w:val="center"/>
        </w:trPr>
        <w:tc>
          <w:tcPr>
            <w:tcW w:w="1620" w:type="dxa"/>
            <w:vMerge w:val="restart"/>
            <w:tcBorders>
              <w:top w:val="single" w:sz="18" w:space="0" w:color="auto"/>
            </w:tcBorders>
            <w:vAlign w:val="center"/>
          </w:tcPr>
          <w:p w14:paraId="44C28A6F" w14:textId="77777777" w:rsidR="00AB20F9" w:rsidRDefault="00AB20F9" w:rsidP="001E3F82">
            <w:pPr>
              <w:widowControl w:val="0"/>
              <w:rPr>
                <w:rFonts w:ascii="Arial" w:hAnsi="Arial" w:cs="Arial"/>
                <w:b/>
                <w:sz w:val="22"/>
                <w:szCs w:val="22"/>
              </w:rPr>
            </w:pPr>
            <w:r>
              <w:rPr>
                <w:rFonts w:ascii="Arial" w:hAnsi="Arial" w:cs="Arial"/>
                <w:b/>
                <w:sz w:val="22"/>
                <w:szCs w:val="22"/>
              </w:rPr>
              <w:t xml:space="preserve">Fees for use of solid waste facilities </w:t>
            </w:r>
            <w:r w:rsidRPr="00631C97">
              <w:rPr>
                <w:rFonts w:ascii="Arial" w:hAnsi="Arial" w:cs="Arial"/>
                <w:b/>
                <w:sz w:val="22"/>
                <w:szCs w:val="22"/>
                <w:u w:val="single"/>
              </w:rPr>
              <w:t>without</w:t>
            </w:r>
            <w:r>
              <w:rPr>
                <w:rFonts w:ascii="Arial" w:hAnsi="Arial" w:cs="Arial"/>
                <w:b/>
                <w:sz w:val="22"/>
                <w:szCs w:val="22"/>
              </w:rPr>
              <w:t xml:space="preserve"> scales </w:t>
            </w:r>
          </w:p>
          <w:p w14:paraId="7645A8E0" w14:textId="77777777" w:rsidR="00AB20F9" w:rsidRDefault="00AB20F9" w:rsidP="001E3F82">
            <w:pPr>
              <w:widowControl w:val="0"/>
              <w:rPr>
                <w:rFonts w:ascii="Arial" w:hAnsi="Arial" w:cs="Arial"/>
                <w:b/>
                <w:sz w:val="22"/>
                <w:szCs w:val="22"/>
              </w:rPr>
            </w:pPr>
            <w:r>
              <w:rPr>
                <w:rFonts w:ascii="Arial" w:hAnsi="Arial" w:cs="Arial"/>
                <w:b/>
                <w:sz w:val="22"/>
                <w:szCs w:val="22"/>
              </w:rPr>
              <w:t>(based on cubic yard or fraction thereof)</w:t>
            </w:r>
          </w:p>
        </w:tc>
        <w:tc>
          <w:tcPr>
            <w:tcW w:w="2182" w:type="dxa"/>
            <w:vMerge w:val="restart"/>
            <w:tcBorders>
              <w:top w:val="single" w:sz="18" w:space="0" w:color="auto"/>
            </w:tcBorders>
            <w:vAlign w:val="center"/>
          </w:tcPr>
          <w:p w14:paraId="696C906F" w14:textId="77777777" w:rsidR="00AB20F9" w:rsidRDefault="00AB20F9" w:rsidP="001E3F82">
            <w:pPr>
              <w:widowControl w:val="0"/>
              <w:rPr>
                <w:rFonts w:ascii="Arial" w:hAnsi="Arial" w:cs="Arial"/>
                <w:b/>
                <w:sz w:val="22"/>
                <w:szCs w:val="22"/>
              </w:rPr>
            </w:pPr>
            <w:r>
              <w:rPr>
                <w:rFonts w:ascii="Arial" w:hAnsi="Arial" w:cs="Arial"/>
                <w:b/>
                <w:sz w:val="22"/>
                <w:szCs w:val="22"/>
              </w:rPr>
              <w:t>Solid Waste</w:t>
            </w:r>
          </w:p>
        </w:tc>
        <w:tc>
          <w:tcPr>
            <w:tcW w:w="3466" w:type="dxa"/>
            <w:tcBorders>
              <w:top w:val="single" w:sz="18" w:space="0" w:color="auto"/>
            </w:tcBorders>
            <w:vAlign w:val="center"/>
          </w:tcPr>
          <w:p w14:paraId="04EDE44B" w14:textId="77777777" w:rsidR="00AB20F9" w:rsidRDefault="00AB20F9" w:rsidP="001E3F82">
            <w:pPr>
              <w:widowControl w:val="0"/>
              <w:rPr>
                <w:rFonts w:ascii="Arial" w:hAnsi="Arial" w:cs="Arial"/>
                <w:sz w:val="22"/>
                <w:szCs w:val="22"/>
              </w:rPr>
            </w:pPr>
            <w:r>
              <w:rPr>
                <w:rFonts w:ascii="Arial" w:hAnsi="Arial" w:cs="Arial"/>
                <w:sz w:val="22"/>
                <w:szCs w:val="22"/>
              </w:rPr>
              <w:t>Fixed-rate vehicles</w:t>
            </w:r>
          </w:p>
        </w:tc>
        <w:tc>
          <w:tcPr>
            <w:tcW w:w="2160" w:type="dxa"/>
            <w:tcBorders>
              <w:top w:val="single" w:sz="18" w:space="0" w:color="auto"/>
            </w:tcBorders>
            <w:vAlign w:val="center"/>
          </w:tcPr>
          <w:p w14:paraId="355BCF4A" w14:textId="08FEAFEF" w:rsidR="00AB20F9" w:rsidRDefault="000F1013" w:rsidP="001E3F82">
            <w:pPr>
              <w:widowControl w:val="0"/>
              <w:rPr>
                <w:rFonts w:ascii="Arial" w:hAnsi="Arial" w:cs="Arial"/>
                <w:sz w:val="22"/>
                <w:szCs w:val="22"/>
              </w:rPr>
            </w:pPr>
            <w:r>
              <w:rPr>
                <w:rFonts w:ascii="Arial" w:hAnsi="Arial" w:cs="Arial"/>
                <w:sz w:val="22"/>
                <w:szCs w:val="22"/>
              </w:rPr>
              <w:t>$24.64 per entry</w:t>
            </w:r>
          </w:p>
        </w:tc>
      </w:tr>
      <w:tr w:rsidR="00AB20F9" w14:paraId="6DB776D2" w14:textId="77777777" w:rsidTr="00074A3E">
        <w:trPr>
          <w:jc w:val="center"/>
        </w:trPr>
        <w:tc>
          <w:tcPr>
            <w:tcW w:w="1620" w:type="dxa"/>
            <w:vMerge/>
          </w:tcPr>
          <w:p w14:paraId="1AEDE9B7" w14:textId="77777777" w:rsidR="00AB20F9" w:rsidRDefault="00AB20F9" w:rsidP="001E3F82">
            <w:pPr>
              <w:widowControl w:val="0"/>
              <w:rPr>
                <w:rFonts w:ascii="Arial" w:hAnsi="Arial" w:cs="Arial"/>
                <w:b/>
                <w:sz w:val="22"/>
                <w:szCs w:val="22"/>
              </w:rPr>
            </w:pPr>
          </w:p>
        </w:tc>
        <w:tc>
          <w:tcPr>
            <w:tcW w:w="2182" w:type="dxa"/>
            <w:vMerge/>
            <w:vAlign w:val="center"/>
          </w:tcPr>
          <w:p w14:paraId="342BC7CE" w14:textId="77777777" w:rsidR="00AB20F9" w:rsidRDefault="00AB20F9" w:rsidP="001E3F82">
            <w:pPr>
              <w:widowControl w:val="0"/>
              <w:rPr>
                <w:rFonts w:ascii="Arial" w:hAnsi="Arial" w:cs="Arial"/>
                <w:b/>
                <w:sz w:val="22"/>
                <w:szCs w:val="22"/>
              </w:rPr>
            </w:pPr>
          </w:p>
        </w:tc>
        <w:tc>
          <w:tcPr>
            <w:tcW w:w="3466" w:type="dxa"/>
            <w:vAlign w:val="center"/>
          </w:tcPr>
          <w:p w14:paraId="0E9CF7C4" w14:textId="77777777" w:rsidR="00AB20F9" w:rsidRDefault="00AB20F9" w:rsidP="001E3F82">
            <w:pPr>
              <w:widowControl w:val="0"/>
              <w:rPr>
                <w:rFonts w:ascii="Arial" w:hAnsi="Arial" w:cs="Arial"/>
                <w:sz w:val="22"/>
                <w:szCs w:val="22"/>
              </w:rPr>
            </w:pPr>
            <w:r>
              <w:rPr>
                <w:rFonts w:ascii="Arial" w:hAnsi="Arial" w:cs="Arial"/>
                <w:sz w:val="22"/>
                <w:szCs w:val="22"/>
              </w:rPr>
              <w:t>Per-ton-rate vehicles</w:t>
            </w:r>
          </w:p>
          <w:p w14:paraId="36D9CA15" w14:textId="77777777" w:rsidR="00AB20F9" w:rsidRDefault="00AB20F9" w:rsidP="001E3F82">
            <w:pPr>
              <w:widowControl w:val="0"/>
              <w:rPr>
                <w:rFonts w:ascii="Arial" w:hAnsi="Arial" w:cs="Arial"/>
                <w:sz w:val="22"/>
                <w:szCs w:val="22"/>
              </w:rPr>
            </w:pPr>
          </w:p>
        </w:tc>
        <w:tc>
          <w:tcPr>
            <w:tcW w:w="2160" w:type="dxa"/>
            <w:vAlign w:val="center"/>
          </w:tcPr>
          <w:p w14:paraId="69583A2C" w14:textId="77777777" w:rsidR="00AB20F9" w:rsidRDefault="00813BE8" w:rsidP="001E3F82">
            <w:pPr>
              <w:widowControl w:val="0"/>
              <w:rPr>
                <w:rFonts w:ascii="Arial" w:hAnsi="Arial" w:cs="Arial"/>
                <w:sz w:val="22"/>
                <w:szCs w:val="22"/>
              </w:rPr>
            </w:pPr>
            <w:r>
              <w:rPr>
                <w:rFonts w:ascii="Arial" w:hAnsi="Arial" w:cs="Arial"/>
                <w:sz w:val="22"/>
                <w:szCs w:val="22"/>
              </w:rPr>
              <w:t xml:space="preserve">Compacted: </w:t>
            </w:r>
            <w:r w:rsidR="000F1013">
              <w:rPr>
                <w:rFonts w:ascii="Arial" w:hAnsi="Arial" w:cs="Arial"/>
                <w:sz w:val="22"/>
                <w:szCs w:val="22"/>
              </w:rPr>
              <w:t>$44.67 per cubic yard</w:t>
            </w:r>
          </w:p>
          <w:p w14:paraId="754D6DF9" w14:textId="77777777" w:rsidR="00813BE8" w:rsidRDefault="00813BE8" w:rsidP="001E3F82">
            <w:pPr>
              <w:widowControl w:val="0"/>
              <w:rPr>
                <w:rFonts w:ascii="Arial" w:hAnsi="Arial" w:cs="Arial"/>
                <w:sz w:val="22"/>
                <w:szCs w:val="22"/>
              </w:rPr>
            </w:pPr>
          </w:p>
          <w:p w14:paraId="7F229B94" w14:textId="6350716F" w:rsidR="00813BE8" w:rsidRDefault="00813BE8" w:rsidP="001E3F82">
            <w:pPr>
              <w:widowControl w:val="0"/>
              <w:rPr>
                <w:rFonts w:ascii="Arial" w:hAnsi="Arial" w:cs="Arial"/>
                <w:sz w:val="22"/>
                <w:szCs w:val="22"/>
              </w:rPr>
            </w:pPr>
            <w:r>
              <w:rPr>
                <w:rFonts w:ascii="Arial" w:hAnsi="Arial" w:cs="Arial"/>
                <w:sz w:val="22"/>
                <w:szCs w:val="22"/>
              </w:rPr>
              <w:t>Uncompacted: $24.</w:t>
            </w:r>
            <w:r w:rsidR="00E9011E">
              <w:rPr>
                <w:rFonts w:ascii="Arial" w:hAnsi="Arial" w:cs="Arial"/>
                <w:sz w:val="22"/>
                <w:szCs w:val="22"/>
              </w:rPr>
              <w:t>18</w:t>
            </w:r>
            <w:r>
              <w:rPr>
                <w:rFonts w:ascii="Arial" w:hAnsi="Arial" w:cs="Arial"/>
                <w:sz w:val="22"/>
                <w:szCs w:val="22"/>
              </w:rPr>
              <w:t xml:space="preserve"> per vehicle</w:t>
            </w:r>
          </w:p>
        </w:tc>
      </w:tr>
      <w:tr w:rsidR="00AB20F9" w14:paraId="71BC7FD7" w14:textId="77777777" w:rsidTr="00074A3E">
        <w:trPr>
          <w:jc w:val="center"/>
        </w:trPr>
        <w:tc>
          <w:tcPr>
            <w:tcW w:w="1620" w:type="dxa"/>
            <w:vMerge/>
          </w:tcPr>
          <w:p w14:paraId="32565272" w14:textId="77777777" w:rsidR="00AB20F9" w:rsidRDefault="00AB20F9" w:rsidP="001E3F82">
            <w:pPr>
              <w:widowControl w:val="0"/>
              <w:rPr>
                <w:rFonts w:ascii="Arial" w:hAnsi="Arial" w:cs="Arial"/>
                <w:b/>
                <w:sz w:val="22"/>
                <w:szCs w:val="22"/>
              </w:rPr>
            </w:pPr>
          </w:p>
        </w:tc>
        <w:tc>
          <w:tcPr>
            <w:tcW w:w="2182" w:type="dxa"/>
            <w:vMerge/>
            <w:vAlign w:val="center"/>
          </w:tcPr>
          <w:p w14:paraId="34A5B881" w14:textId="77777777" w:rsidR="00AB20F9" w:rsidRDefault="00AB20F9" w:rsidP="001E3F82">
            <w:pPr>
              <w:widowControl w:val="0"/>
              <w:rPr>
                <w:rFonts w:ascii="Arial" w:hAnsi="Arial" w:cs="Arial"/>
                <w:b/>
                <w:sz w:val="22"/>
                <w:szCs w:val="22"/>
              </w:rPr>
            </w:pPr>
          </w:p>
        </w:tc>
        <w:tc>
          <w:tcPr>
            <w:tcW w:w="3466" w:type="dxa"/>
            <w:vAlign w:val="center"/>
          </w:tcPr>
          <w:p w14:paraId="54A40594" w14:textId="37DCEE67" w:rsidR="00AB20F9" w:rsidRDefault="00AB20F9" w:rsidP="001E3F82">
            <w:pPr>
              <w:widowControl w:val="0"/>
              <w:rPr>
                <w:rFonts w:ascii="Arial" w:hAnsi="Arial" w:cs="Arial"/>
                <w:sz w:val="22"/>
                <w:szCs w:val="22"/>
              </w:rPr>
            </w:pPr>
            <w:r>
              <w:rPr>
                <w:rFonts w:ascii="Arial" w:hAnsi="Arial" w:cs="Arial"/>
                <w:sz w:val="22"/>
                <w:szCs w:val="22"/>
              </w:rPr>
              <w:t>Minimum</w:t>
            </w:r>
            <w:r w:rsidR="00660DC5">
              <w:rPr>
                <w:rFonts w:ascii="Arial" w:hAnsi="Arial" w:cs="Arial"/>
                <w:sz w:val="22"/>
                <w:szCs w:val="22"/>
              </w:rPr>
              <w:t xml:space="preserve"> (less than 320 lbs.)</w:t>
            </w:r>
          </w:p>
        </w:tc>
        <w:tc>
          <w:tcPr>
            <w:tcW w:w="2160" w:type="dxa"/>
            <w:vAlign w:val="center"/>
          </w:tcPr>
          <w:p w14:paraId="3376DB01" w14:textId="3862A47E" w:rsidR="00AB20F9" w:rsidRDefault="00504432" w:rsidP="001E3F82">
            <w:pPr>
              <w:widowControl w:val="0"/>
              <w:rPr>
                <w:rFonts w:ascii="Arial" w:hAnsi="Arial" w:cs="Arial"/>
                <w:sz w:val="22"/>
                <w:szCs w:val="22"/>
              </w:rPr>
            </w:pPr>
            <w:r>
              <w:rPr>
                <w:rFonts w:ascii="Arial" w:hAnsi="Arial" w:cs="Arial"/>
                <w:sz w:val="22"/>
                <w:szCs w:val="22"/>
              </w:rPr>
              <w:t>$2</w:t>
            </w:r>
            <w:r w:rsidR="0002734C">
              <w:rPr>
                <w:rFonts w:ascii="Arial" w:hAnsi="Arial" w:cs="Arial"/>
                <w:sz w:val="22"/>
                <w:szCs w:val="22"/>
              </w:rPr>
              <w:t>6</w:t>
            </w:r>
            <w:r>
              <w:rPr>
                <w:rFonts w:ascii="Arial" w:hAnsi="Arial" w:cs="Arial"/>
                <w:sz w:val="22"/>
                <w:szCs w:val="22"/>
              </w:rPr>
              <w:t>.64 per vehicle</w:t>
            </w:r>
          </w:p>
        </w:tc>
      </w:tr>
      <w:tr w:rsidR="00AB20F9" w14:paraId="34D77487" w14:textId="77777777" w:rsidTr="00074A3E">
        <w:trPr>
          <w:jc w:val="center"/>
        </w:trPr>
        <w:tc>
          <w:tcPr>
            <w:tcW w:w="1620" w:type="dxa"/>
            <w:vMerge/>
          </w:tcPr>
          <w:p w14:paraId="67814A12" w14:textId="77777777" w:rsidR="00AB20F9" w:rsidRDefault="00AB20F9" w:rsidP="001E3F82">
            <w:pPr>
              <w:widowControl w:val="0"/>
              <w:rPr>
                <w:rFonts w:ascii="Arial" w:hAnsi="Arial" w:cs="Arial"/>
                <w:b/>
                <w:sz w:val="22"/>
                <w:szCs w:val="22"/>
              </w:rPr>
            </w:pPr>
          </w:p>
        </w:tc>
        <w:tc>
          <w:tcPr>
            <w:tcW w:w="2182" w:type="dxa"/>
            <w:vMerge w:val="restart"/>
            <w:vAlign w:val="center"/>
          </w:tcPr>
          <w:p w14:paraId="66039530" w14:textId="77777777" w:rsidR="00AB20F9" w:rsidRDefault="00AB20F9" w:rsidP="001E3F82">
            <w:pPr>
              <w:widowControl w:val="0"/>
              <w:rPr>
                <w:rFonts w:ascii="Arial" w:hAnsi="Arial" w:cs="Arial"/>
                <w:b/>
                <w:sz w:val="22"/>
                <w:szCs w:val="22"/>
              </w:rPr>
            </w:pPr>
            <w:r>
              <w:rPr>
                <w:rFonts w:ascii="Arial" w:hAnsi="Arial" w:cs="Arial"/>
                <w:b/>
                <w:sz w:val="22"/>
                <w:szCs w:val="22"/>
              </w:rPr>
              <w:t>Source-separated yard waste, clean wood waste, or any combination</w:t>
            </w:r>
          </w:p>
        </w:tc>
        <w:tc>
          <w:tcPr>
            <w:tcW w:w="3466" w:type="dxa"/>
            <w:vAlign w:val="center"/>
          </w:tcPr>
          <w:p w14:paraId="327F4DEC" w14:textId="77777777" w:rsidR="00AB20F9" w:rsidRDefault="00AB20F9" w:rsidP="001E3F82">
            <w:pPr>
              <w:widowControl w:val="0"/>
              <w:rPr>
                <w:rFonts w:ascii="Arial" w:hAnsi="Arial" w:cs="Arial"/>
                <w:sz w:val="22"/>
                <w:szCs w:val="22"/>
              </w:rPr>
            </w:pPr>
            <w:r>
              <w:rPr>
                <w:rFonts w:ascii="Arial" w:hAnsi="Arial" w:cs="Arial"/>
                <w:sz w:val="22"/>
                <w:szCs w:val="22"/>
              </w:rPr>
              <w:t>Fixed-rate vehicles</w:t>
            </w:r>
          </w:p>
        </w:tc>
        <w:tc>
          <w:tcPr>
            <w:tcW w:w="2160" w:type="dxa"/>
            <w:vAlign w:val="center"/>
          </w:tcPr>
          <w:p w14:paraId="58DD1765" w14:textId="2B9AA3AE" w:rsidR="00AB20F9" w:rsidRDefault="007D37CF" w:rsidP="001E3F82">
            <w:pPr>
              <w:widowControl w:val="0"/>
              <w:rPr>
                <w:rFonts w:ascii="Arial" w:hAnsi="Arial" w:cs="Arial"/>
                <w:sz w:val="22"/>
                <w:szCs w:val="22"/>
              </w:rPr>
            </w:pPr>
            <w:r>
              <w:rPr>
                <w:rFonts w:ascii="Arial" w:hAnsi="Arial" w:cs="Arial"/>
                <w:sz w:val="22"/>
                <w:szCs w:val="22"/>
              </w:rPr>
              <w:t>$16.00 per entry</w:t>
            </w:r>
          </w:p>
        </w:tc>
      </w:tr>
      <w:tr w:rsidR="00AB20F9" w14:paraId="5F809726" w14:textId="77777777" w:rsidTr="00074A3E">
        <w:trPr>
          <w:jc w:val="center"/>
        </w:trPr>
        <w:tc>
          <w:tcPr>
            <w:tcW w:w="1620" w:type="dxa"/>
            <w:vMerge/>
          </w:tcPr>
          <w:p w14:paraId="489E3C07" w14:textId="77777777" w:rsidR="00AB20F9" w:rsidRDefault="00AB20F9" w:rsidP="001E3F82">
            <w:pPr>
              <w:widowControl w:val="0"/>
              <w:rPr>
                <w:rFonts w:ascii="Arial" w:hAnsi="Arial" w:cs="Arial"/>
                <w:b/>
                <w:sz w:val="22"/>
                <w:szCs w:val="22"/>
              </w:rPr>
            </w:pPr>
          </w:p>
        </w:tc>
        <w:tc>
          <w:tcPr>
            <w:tcW w:w="2182" w:type="dxa"/>
            <w:vMerge/>
            <w:vAlign w:val="center"/>
          </w:tcPr>
          <w:p w14:paraId="7971C257" w14:textId="77777777" w:rsidR="00AB20F9" w:rsidRDefault="00AB20F9" w:rsidP="001E3F82">
            <w:pPr>
              <w:widowControl w:val="0"/>
              <w:rPr>
                <w:rFonts w:ascii="Arial" w:hAnsi="Arial" w:cs="Arial"/>
                <w:b/>
                <w:sz w:val="22"/>
                <w:szCs w:val="22"/>
              </w:rPr>
            </w:pPr>
          </w:p>
        </w:tc>
        <w:tc>
          <w:tcPr>
            <w:tcW w:w="3466" w:type="dxa"/>
            <w:vAlign w:val="center"/>
          </w:tcPr>
          <w:p w14:paraId="1C396FBB" w14:textId="77777777" w:rsidR="00AB20F9" w:rsidRDefault="00AB20F9" w:rsidP="001E3F82">
            <w:pPr>
              <w:widowControl w:val="0"/>
              <w:rPr>
                <w:rFonts w:ascii="Arial" w:hAnsi="Arial" w:cs="Arial"/>
                <w:sz w:val="22"/>
                <w:szCs w:val="22"/>
              </w:rPr>
            </w:pPr>
            <w:r>
              <w:rPr>
                <w:rFonts w:ascii="Arial" w:hAnsi="Arial" w:cs="Arial"/>
                <w:sz w:val="22"/>
                <w:szCs w:val="22"/>
              </w:rPr>
              <w:t>Per-ton-rate vehicles</w:t>
            </w:r>
          </w:p>
          <w:p w14:paraId="6280109B" w14:textId="77777777" w:rsidR="00AB20F9" w:rsidRDefault="00AB20F9" w:rsidP="001E3F82">
            <w:pPr>
              <w:widowControl w:val="0"/>
              <w:rPr>
                <w:rFonts w:ascii="Arial" w:hAnsi="Arial" w:cs="Arial"/>
                <w:sz w:val="22"/>
                <w:szCs w:val="22"/>
              </w:rPr>
            </w:pPr>
          </w:p>
        </w:tc>
        <w:tc>
          <w:tcPr>
            <w:tcW w:w="2160" w:type="dxa"/>
            <w:vAlign w:val="center"/>
          </w:tcPr>
          <w:p w14:paraId="5D1D2A6B" w14:textId="77777777" w:rsidR="00AB20F9" w:rsidRDefault="007D37CF" w:rsidP="001E3F82">
            <w:pPr>
              <w:widowControl w:val="0"/>
              <w:rPr>
                <w:rFonts w:ascii="Arial" w:hAnsi="Arial" w:cs="Arial"/>
                <w:sz w:val="22"/>
                <w:szCs w:val="22"/>
              </w:rPr>
            </w:pPr>
            <w:r>
              <w:rPr>
                <w:rFonts w:ascii="Arial" w:hAnsi="Arial" w:cs="Arial"/>
                <w:sz w:val="22"/>
                <w:szCs w:val="22"/>
              </w:rPr>
              <w:t>Compacted:</w:t>
            </w:r>
            <w:r w:rsidR="002C6656">
              <w:rPr>
                <w:rFonts w:ascii="Arial" w:hAnsi="Arial" w:cs="Arial"/>
                <w:sz w:val="22"/>
                <w:szCs w:val="22"/>
              </w:rPr>
              <w:t xml:space="preserve"> $29.00 per cubic yard</w:t>
            </w:r>
          </w:p>
          <w:p w14:paraId="3A1F9483" w14:textId="77777777" w:rsidR="002C6656" w:rsidRDefault="002C6656" w:rsidP="001E3F82">
            <w:pPr>
              <w:widowControl w:val="0"/>
              <w:rPr>
                <w:rFonts w:ascii="Arial" w:hAnsi="Arial" w:cs="Arial"/>
                <w:sz w:val="22"/>
                <w:szCs w:val="22"/>
              </w:rPr>
            </w:pPr>
          </w:p>
          <w:p w14:paraId="05C130FA" w14:textId="2FCCF217" w:rsidR="002C6656" w:rsidRDefault="002C6656" w:rsidP="001E3F82">
            <w:pPr>
              <w:widowControl w:val="0"/>
              <w:rPr>
                <w:rFonts w:ascii="Arial" w:hAnsi="Arial" w:cs="Arial"/>
                <w:sz w:val="22"/>
                <w:szCs w:val="22"/>
              </w:rPr>
            </w:pPr>
            <w:r>
              <w:rPr>
                <w:rFonts w:ascii="Arial" w:hAnsi="Arial" w:cs="Arial"/>
                <w:sz w:val="22"/>
                <w:szCs w:val="22"/>
              </w:rPr>
              <w:t>Uncompacted: $17.00 per cubic yard</w:t>
            </w:r>
          </w:p>
        </w:tc>
      </w:tr>
      <w:tr w:rsidR="00AB20F9" w14:paraId="039BA34C" w14:textId="77777777" w:rsidTr="00074A3E">
        <w:trPr>
          <w:jc w:val="center"/>
        </w:trPr>
        <w:tc>
          <w:tcPr>
            <w:tcW w:w="1620" w:type="dxa"/>
            <w:vMerge/>
            <w:tcBorders>
              <w:bottom w:val="single" w:sz="18" w:space="0" w:color="auto"/>
            </w:tcBorders>
          </w:tcPr>
          <w:p w14:paraId="63336CB6" w14:textId="77777777" w:rsidR="00AB20F9" w:rsidRDefault="00AB20F9" w:rsidP="001E3F82">
            <w:pPr>
              <w:widowControl w:val="0"/>
              <w:rPr>
                <w:rFonts w:ascii="Arial" w:hAnsi="Arial" w:cs="Arial"/>
                <w:b/>
                <w:sz w:val="22"/>
                <w:szCs w:val="22"/>
              </w:rPr>
            </w:pPr>
          </w:p>
        </w:tc>
        <w:tc>
          <w:tcPr>
            <w:tcW w:w="2182" w:type="dxa"/>
            <w:vMerge/>
            <w:tcBorders>
              <w:bottom w:val="single" w:sz="18" w:space="0" w:color="auto"/>
            </w:tcBorders>
            <w:vAlign w:val="center"/>
          </w:tcPr>
          <w:p w14:paraId="46DE6F23" w14:textId="77777777" w:rsidR="00AB20F9" w:rsidRDefault="00AB20F9" w:rsidP="001E3F82">
            <w:pPr>
              <w:widowControl w:val="0"/>
              <w:rPr>
                <w:rFonts w:ascii="Arial" w:hAnsi="Arial" w:cs="Arial"/>
                <w:b/>
                <w:sz w:val="22"/>
                <w:szCs w:val="22"/>
              </w:rPr>
            </w:pPr>
          </w:p>
        </w:tc>
        <w:tc>
          <w:tcPr>
            <w:tcW w:w="3466" w:type="dxa"/>
            <w:tcBorders>
              <w:bottom w:val="single" w:sz="18" w:space="0" w:color="auto"/>
            </w:tcBorders>
            <w:vAlign w:val="center"/>
          </w:tcPr>
          <w:p w14:paraId="5E5A7691" w14:textId="2231F37E" w:rsidR="00AB20F9" w:rsidRDefault="00AB20F9" w:rsidP="001E3F82">
            <w:pPr>
              <w:widowControl w:val="0"/>
              <w:rPr>
                <w:rFonts w:ascii="Arial" w:hAnsi="Arial" w:cs="Arial"/>
                <w:sz w:val="22"/>
                <w:szCs w:val="22"/>
              </w:rPr>
            </w:pPr>
            <w:r>
              <w:rPr>
                <w:rFonts w:ascii="Arial" w:hAnsi="Arial" w:cs="Arial"/>
                <w:sz w:val="22"/>
                <w:szCs w:val="22"/>
              </w:rPr>
              <w:t>Minimum</w:t>
            </w:r>
            <w:r w:rsidR="00660DC5">
              <w:rPr>
                <w:rFonts w:ascii="Arial" w:hAnsi="Arial" w:cs="Arial"/>
                <w:sz w:val="22"/>
                <w:szCs w:val="22"/>
              </w:rPr>
              <w:t xml:space="preserve"> (less than 320 lbs.)</w:t>
            </w:r>
          </w:p>
        </w:tc>
        <w:tc>
          <w:tcPr>
            <w:tcW w:w="2160" w:type="dxa"/>
            <w:tcBorders>
              <w:bottom w:val="single" w:sz="18" w:space="0" w:color="auto"/>
            </w:tcBorders>
            <w:vAlign w:val="center"/>
          </w:tcPr>
          <w:p w14:paraId="4F83853F" w14:textId="4B83BD25" w:rsidR="00AB20F9" w:rsidRDefault="008A37A1" w:rsidP="001E3F82">
            <w:pPr>
              <w:widowControl w:val="0"/>
              <w:rPr>
                <w:rFonts w:ascii="Arial" w:hAnsi="Arial" w:cs="Arial"/>
                <w:sz w:val="22"/>
                <w:szCs w:val="22"/>
              </w:rPr>
            </w:pPr>
            <w:r>
              <w:rPr>
                <w:rFonts w:ascii="Arial" w:hAnsi="Arial" w:cs="Arial"/>
                <w:sz w:val="22"/>
                <w:szCs w:val="22"/>
              </w:rPr>
              <w:t>$16.00 per vehicle</w:t>
            </w:r>
          </w:p>
        </w:tc>
      </w:tr>
      <w:tr w:rsidR="00AB20F9" w14:paraId="0FBB3FD2" w14:textId="77777777" w:rsidTr="00074A3E">
        <w:trPr>
          <w:jc w:val="center"/>
        </w:trPr>
        <w:tc>
          <w:tcPr>
            <w:tcW w:w="3802" w:type="dxa"/>
            <w:gridSpan w:val="2"/>
            <w:vMerge w:val="restart"/>
            <w:tcBorders>
              <w:top w:val="single" w:sz="18" w:space="0" w:color="auto"/>
            </w:tcBorders>
            <w:vAlign w:val="center"/>
          </w:tcPr>
          <w:p w14:paraId="04D4532F" w14:textId="77777777" w:rsidR="00AB20F9" w:rsidRDefault="00AB20F9" w:rsidP="001E3F82">
            <w:pPr>
              <w:widowControl w:val="0"/>
              <w:rPr>
                <w:rFonts w:ascii="Arial" w:hAnsi="Arial" w:cs="Arial"/>
                <w:b/>
                <w:sz w:val="22"/>
                <w:szCs w:val="22"/>
              </w:rPr>
            </w:pPr>
            <w:r>
              <w:rPr>
                <w:rFonts w:ascii="Arial" w:hAnsi="Arial" w:cs="Arial"/>
                <w:b/>
                <w:sz w:val="22"/>
                <w:szCs w:val="22"/>
              </w:rPr>
              <w:t>Fees at Cedar Hills Regional Landfill</w:t>
            </w:r>
          </w:p>
        </w:tc>
        <w:tc>
          <w:tcPr>
            <w:tcW w:w="3466" w:type="dxa"/>
            <w:tcBorders>
              <w:top w:val="single" w:sz="18" w:space="0" w:color="auto"/>
            </w:tcBorders>
            <w:vAlign w:val="center"/>
          </w:tcPr>
          <w:p w14:paraId="6087EADE" w14:textId="77777777" w:rsidR="00AB20F9" w:rsidRDefault="00AB20F9" w:rsidP="001E3F82">
            <w:pPr>
              <w:widowControl w:val="0"/>
              <w:rPr>
                <w:rFonts w:ascii="Arial" w:hAnsi="Arial" w:cs="Arial"/>
                <w:sz w:val="22"/>
                <w:szCs w:val="22"/>
              </w:rPr>
            </w:pPr>
            <w:r>
              <w:rPr>
                <w:rFonts w:ascii="Arial" w:hAnsi="Arial" w:cs="Arial"/>
                <w:sz w:val="22"/>
                <w:szCs w:val="22"/>
              </w:rPr>
              <w:t>Regional direct</w:t>
            </w:r>
          </w:p>
        </w:tc>
        <w:tc>
          <w:tcPr>
            <w:tcW w:w="2160" w:type="dxa"/>
            <w:tcBorders>
              <w:top w:val="single" w:sz="18" w:space="0" w:color="auto"/>
            </w:tcBorders>
            <w:vAlign w:val="center"/>
          </w:tcPr>
          <w:p w14:paraId="594A3AB6" w14:textId="07D211E2" w:rsidR="00AB20F9" w:rsidRDefault="007768EB" w:rsidP="001E3F82">
            <w:pPr>
              <w:widowControl w:val="0"/>
              <w:rPr>
                <w:rFonts w:ascii="Arial" w:hAnsi="Arial" w:cs="Arial"/>
                <w:sz w:val="22"/>
                <w:szCs w:val="22"/>
              </w:rPr>
            </w:pPr>
            <w:r>
              <w:rPr>
                <w:rFonts w:ascii="Arial" w:hAnsi="Arial" w:cs="Arial"/>
                <w:sz w:val="22"/>
                <w:szCs w:val="22"/>
              </w:rPr>
              <w:t>$131.00 per ton</w:t>
            </w:r>
          </w:p>
        </w:tc>
      </w:tr>
      <w:tr w:rsidR="00AB20F9" w14:paraId="449D4DFB" w14:textId="77777777" w:rsidTr="00074A3E">
        <w:trPr>
          <w:jc w:val="center"/>
        </w:trPr>
        <w:tc>
          <w:tcPr>
            <w:tcW w:w="3802" w:type="dxa"/>
            <w:gridSpan w:val="2"/>
            <w:vMerge/>
          </w:tcPr>
          <w:p w14:paraId="1D8C1DC1" w14:textId="77777777" w:rsidR="00AB20F9" w:rsidRDefault="00AB20F9" w:rsidP="001E3F82">
            <w:pPr>
              <w:widowControl w:val="0"/>
              <w:rPr>
                <w:rFonts w:ascii="Arial" w:hAnsi="Arial" w:cs="Arial"/>
                <w:b/>
                <w:sz w:val="22"/>
                <w:szCs w:val="22"/>
              </w:rPr>
            </w:pPr>
          </w:p>
        </w:tc>
        <w:tc>
          <w:tcPr>
            <w:tcW w:w="3466" w:type="dxa"/>
            <w:vAlign w:val="center"/>
          </w:tcPr>
          <w:p w14:paraId="235E2D03" w14:textId="77777777" w:rsidR="00AB20F9" w:rsidRDefault="00AB20F9" w:rsidP="001E3F82">
            <w:pPr>
              <w:widowControl w:val="0"/>
              <w:rPr>
                <w:rFonts w:ascii="Arial" w:hAnsi="Arial" w:cs="Arial"/>
                <w:sz w:val="22"/>
                <w:szCs w:val="22"/>
              </w:rPr>
            </w:pPr>
            <w:r>
              <w:rPr>
                <w:rFonts w:ascii="Arial" w:hAnsi="Arial" w:cs="Arial"/>
                <w:sz w:val="22"/>
                <w:szCs w:val="22"/>
              </w:rPr>
              <w:t>Per-ton-rate vehicles</w:t>
            </w:r>
          </w:p>
        </w:tc>
        <w:tc>
          <w:tcPr>
            <w:tcW w:w="2160" w:type="dxa"/>
            <w:vAlign w:val="center"/>
          </w:tcPr>
          <w:p w14:paraId="6EF192E5" w14:textId="48D89B3C" w:rsidR="00AB20F9" w:rsidRDefault="007768EB" w:rsidP="001E3F82">
            <w:pPr>
              <w:widowControl w:val="0"/>
              <w:rPr>
                <w:rFonts w:ascii="Arial" w:hAnsi="Arial" w:cs="Arial"/>
                <w:sz w:val="22"/>
                <w:szCs w:val="22"/>
              </w:rPr>
            </w:pPr>
            <w:r>
              <w:rPr>
                <w:rFonts w:ascii="Arial" w:hAnsi="Arial" w:cs="Arial"/>
                <w:sz w:val="22"/>
                <w:szCs w:val="22"/>
              </w:rPr>
              <w:t>$154.02 per ton</w:t>
            </w:r>
          </w:p>
        </w:tc>
      </w:tr>
      <w:tr w:rsidR="00AB20F9" w14:paraId="693AF82D" w14:textId="77777777" w:rsidTr="00074A3E">
        <w:trPr>
          <w:jc w:val="center"/>
        </w:trPr>
        <w:tc>
          <w:tcPr>
            <w:tcW w:w="3802" w:type="dxa"/>
            <w:gridSpan w:val="2"/>
            <w:vMerge/>
          </w:tcPr>
          <w:p w14:paraId="61C57A83" w14:textId="77777777" w:rsidR="00AB20F9" w:rsidRDefault="00AB20F9" w:rsidP="001E3F82">
            <w:pPr>
              <w:widowControl w:val="0"/>
              <w:rPr>
                <w:rFonts w:ascii="Arial" w:hAnsi="Arial" w:cs="Arial"/>
                <w:b/>
                <w:sz w:val="22"/>
                <w:szCs w:val="22"/>
              </w:rPr>
            </w:pPr>
          </w:p>
        </w:tc>
        <w:tc>
          <w:tcPr>
            <w:tcW w:w="3466" w:type="dxa"/>
            <w:vAlign w:val="center"/>
          </w:tcPr>
          <w:p w14:paraId="6FF9D5BE" w14:textId="77777777" w:rsidR="00AB20F9" w:rsidRDefault="00AB20F9" w:rsidP="001E3F82">
            <w:pPr>
              <w:widowControl w:val="0"/>
              <w:rPr>
                <w:rFonts w:ascii="Arial" w:hAnsi="Arial" w:cs="Arial"/>
                <w:sz w:val="22"/>
                <w:szCs w:val="22"/>
              </w:rPr>
            </w:pPr>
            <w:r>
              <w:rPr>
                <w:rFonts w:ascii="Arial" w:hAnsi="Arial" w:cs="Arial"/>
                <w:sz w:val="22"/>
                <w:szCs w:val="22"/>
              </w:rPr>
              <w:t>Per-ton-mattresses</w:t>
            </w:r>
          </w:p>
        </w:tc>
        <w:tc>
          <w:tcPr>
            <w:tcW w:w="2160" w:type="dxa"/>
            <w:shd w:val="clear" w:color="auto" w:fill="auto"/>
            <w:vAlign w:val="center"/>
          </w:tcPr>
          <w:p w14:paraId="5E89D847" w14:textId="4B0E329C" w:rsidR="00AB20F9" w:rsidRDefault="007768EB" w:rsidP="001E3F82">
            <w:pPr>
              <w:widowControl w:val="0"/>
              <w:rPr>
                <w:rFonts w:ascii="Arial" w:hAnsi="Arial" w:cs="Arial"/>
                <w:sz w:val="22"/>
                <w:szCs w:val="22"/>
              </w:rPr>
            </w:pPr>
            <w:r>
              <w:rPr>
                <w:rFonts w:ascii="Arial" w:hAnsi="Arial" w:cs="Arial"/>
                <w:sz w:val="22"/>
                <w:szCs w:val="22"/>
              </w:rPr>
              <w:t>$1,090.00 per ton</w:t>
            </w:r>
          </w:p>
        </w:tc>
      </w:tr>
    </w:tbl>
    <w:p w14:paraId="5DA461B0" w14:textId="77777777" w:rsidR="00471F6D" w:rsidRDefault="00471F6D" w:rsidP="00FF3B74">
      <w:pPr>
        <w:jc w:val="both"/>
        <w:rPr>
          <w:rFonts w:ascii="Arial" w:hAnsi="Arial" w:cs="Arial"/>
          <w:b/>
          <w:szCs w:val="24"/>
        </w:rPr>
      </w:pPr>
    </w:p>
    <w:p w14:paraId="54432B20" w14:textId="77777777" w:rsidR="005A575F" w:rsidRDefault="005A575F" w:rsidP="00FF3B74">
      <w:pPr>
        <w:widowControl w:val="0"/>
        <w:jc w:val="both"/>
        <w:rPr>
          <w:rFonts w:ascii="Arial" w:hAnsi="Arial" w:cs="Arial"/>
          <w:b/>
          <w:szCs w:val="24"/>
        </w:rPr>
      </w:pPr>
    </w:p>
    <w:p w14:paraId="590707D1" w14:textId="5A88FC48" w:rsidR="00A37831" w:rsidRDefault="00B52E41" w:rsidP="00FF3B74">
      <w:pPr>
        <w:widowControl w:val="0"/>
        <w:jc w:val="both"/>
        <w:rPr>
          <w:rFonts w:ascii="Arial" w:hAnsi="Arial" w:cs="Arial"/>
        </w:rPr>
      </w:pPr>
      <w:r>
        <w:rPr>
          <w:rFonts w:ascii="Arial" w:hAnsi="Arial" w:cs="Arial"/>
          <w:b/>
          <w:szCs w:val="24"/>
        </w:rPr>
        <w:lastRenderedPageBreak/>
        <w:t>Executive Rationale for Fee Restructure.</w:t>
      </w:r>
      <w:r w:rsidR="00471F6D">
        <w:rPr>
          <w:rFonts w:ascii="Arial" w:hAnsi="Arial" w:cs="Arial"/>
          <w:b/>
          <w:szCs w:val="24"/>
        </w:rPr>
        <w:t xml:space="preserve"> </w:t>
      </w:r>
      <w:r w:rsidR="00471F6D">
        <w:rPr>
          <w:rFonts w:ascii="Arial" w:hAnsi="Arial" w:cs="Arial"/>
        </w:rPr>
        <w:t xml:space="preserve">Executive staff indicate that, under the current fee structure, solid waste system revenues are highly dependent on </w:t>
      </w:r>
      <w:r w:rsidR="00F86FD0">
        <w:rPr>
          <w:rFonts w:ascii="Arial" w:hAnsi="Arial" w:cs="Arial"/>
        </w:rPr>
        <w:t xml:space="preserve">the </w:t>
      </w:r>
      <w:r w:rsidR="00471F6D">
        <w:rPr>
          <w:rFonts w:ascii="Arial" w:hAnsi="Arial" w:cs="Arial"/>
        </w:rPr>
        <w:t xml:space="preserve">tonnage of waste received, citing that approximately 90 percent of </w:t>
      </w:r>
      <w:r w:rsidR="00F86FD0">
        <w:rPr>
          <w:rFonts w:ascii="Arial" w:hAnsi="Arial" w:cs="Arial"/>
        </w:rPr>
        <w:t xml:space="preserve">system </w:t>
      </w:r>
      <w:r w:rsidR="00471F6D">
        <w:rPr>
          <w:rFonts w:ascii="Arial" w:hAnsi="Arial" w:cs="Arial"/>
        </w:rPr>
        <w:t xml:space="preserve">revenues come from </w:t>
      </w:r>
      <w:r w:rsidR="000B4D20">
        <w:rPr>
          <w:rFonts w:ascii="Arial" w:hAnsi="Arial" w:cs="Arial"/>
        </w:rPr>
        <w:t>weight-based</w:t>
      </w:r>
      <w:r w:rsidR="00C37F8F">
        <w:rPr>
          <w:rFonts w:ascii="Arial" w:hAnsi="Arial" w:cs="Arial"/>
        </w:rPr>
        <w:t xml:space="preserve"> </w:t>
      </w:r>
      <w:r w:rsidR="00471F6D">
        <w:rPr>
          <w:rFonts w:ascii="Arial" w:hAnsi="Arial" w:cs="Arial"/>
        </w:rPr>
        <w:t xml:space="preserve">fees charged to dispose of waste at solid waste facilities. </w:t>
      </w:r>
      <w:r w:rsidR="00237C92">
        <w:rPr>
          <w:rFonts w:ascii="Arial" w:hAnsi="Arial" w:cs="Arial"/>
        </w:rPr>
        <w:t xml:space="preserve">Executive staff indicate they describe </w:t>
      </w:r>
      <w:r w:rsidR="00935EBC">
        <w:rPr>
          <w:rFonts w:ascii="Arial" w:hAnsi="Arial" w:cs="Arial"/>
        </w:rPr>
        <w:t>these</w:t>
      </w:r>
      <w:r w:rsidR="00237C92">
        <w:rPr>
          <w:rFonts w:ascii="Arial" w:hAnsi="Arial" w:cs="Arial"/>
        </w:rPr>
        <w:t xml:space="preserve"> as a variable revenue</w:t>
      </w:r>
      <w:r w:rsidR="00CF4F5D">
        <w:rPr>
          <w:rFonts w:ascii="Arial" w:hAnsi="Arial" w:cs="Arial"/>
        </w:rPr>
        <w:t xml:space="preserve"> source because the number of tons the solid waste system receives</w:t>
      </w:r>
      <w:r w:rsidR="009C792E">
        <w:rPr>
          <w:rFonts w:ascii="Arial" w:hAnsi="Arial" w:cs="Arial"/>
        </w:rPr>
        <w:t xml:space="preserve"> can</w:t>
      </w:r>
      <w:r w:rsidR="00CF4F5D">
        <w:rPr>
          <w:rFonts w:ascii="Arial" w:hAnsi="Arial" w:cs="Arial"/>
        </w:rPr>
        <w:t xml:space="preserve"> fluctuate from year to year. </w:t>
      </w:r>
      <w:r w:rsidR="00471F6D">
        <w:rPr>
          <w:rFonts w:ascii="Arial" w:hAnsi="Arial" w:cs="Arial"/>
        </w:rPr>
        <w:t>They further note that</w:t>
      </w:r>
      <w:r w:rsidR="000609F4">
        <w:rPr>
          <w:rFonts w:ascii="Arial" w:hAnsi="Arial" w:cs="Arial"/>
        </w:rPr>
        <w:t xml:space="preserve"> many SWD expenditures, such as debt service for </w:t>
      </w:r>
      <w:r w:rsidR="006558FB">
        <w:rPr>
          <w:rFonts w:ascii="Arial" w:hAnsi="Arial" w:cs="Arial"/>
        </w:rPr>
        <w:t xml:space="preserve">current and completed capital projects, are fixed regardless of the amount of </w:t>
      </w:r>
      <w:r w:rsidR="00576432">
        <w:rPr>
          <w:rFonts w:ascii="Arial" w:hAnsi="Arial" w:cs="Arial"/>
        </w:rPr>
        <w:t xml:space="preserve">solid waste </w:t>
      </w:r>
      <w:r w:rsidR="006558FB">
        <w:rPr>
          <w:rFonts w:ascii="Arial" w:hAnsi="Arial" w:cs="Arial"/>
        </w:rPr>
        <w:t xml:space="preserve">tonnage </w:t>
      </w:r>
      <w:r w:rsidR="00576432">
        <w:rPr>
          <w:rFonts w:ascii="Arial" w:hAnsi="Arial" w:cs="Arial"/>
        </w:rPr>
        <w:t>collected annually</w:t>
      </w:r>
      <w:r w:rsidR="006558FB">
        <w:rPr>
          <w:rFonts w:ascii="Arial" w:hAnsi="Arial" w:cs="Arial"/>
        </w:rPr>
        <w:t xml:space="preserve">. </w:t>
      </w:r>
    </w:p>
    <w:p w14:paraId="5BD3A602" w14:textId="77777777" w:rsidR="00A37831" w:rsidRDefault="00A37831" w:rsidP="00FF3B74">
      <w:pPr>
        <w:widowControl w:val="0"/>
        <w:jc w:val="both"/>
        <w:rPr>
          <w:rFonts w:ascii="Arial" w:hAnsi="Arial" w:cs="Arial"/>
        </w:rPr>
      </w:pPr>
    </w:p>
    <w:p w14:paraId="0DC3C87E" w14:textId="02B3AB41" w:rsidR="00471F6D" w:rsidRDefault="002015AF" w:rsidP="00FF3B74">
      <w:pPr>
        <w:widowControl w:val="0"/>
        <w:jc w:val="both"/>
        <w:rPr>
          <w:rFonts w:ascii="Arial" w:hAnsi="Arial" w:cs="Arial"/>
        </w:rPr>
      </w:pPr>
      <w:r>
        <w:rPr>
          <w:rFonts w:ascii="Arial" w:hAnsi="Arial" w:cs="Arial"/>
        </w:rPr>
        <w:t>Additionally, t</w:t>
      </w:r>
      <w:r w:rsidR="006558FB">
        <w:rPr>
          <w:rFonts w:ascii="Arial" w:hAnsi="Arial" w:cs="Arial"/>
        </w:rPr>
        <w:t>he narrative accompanying the proposed ordinance</w:t>
      </w:r>
      <w:r w:rsidR="00CA4CE2">
        <w:rPr>
          <w:rFonts w:ascii="Arial" w:hAnsi="Arial" w:cs="Arial"/>
        </w:rPr>
        <w:t xml:space="preserve"> </w:t>
      </w:r>
      <w:r w:rsidR="00660DC5">
        <w:rPr>
          <w:rFonts w:ascii="Arial" w:hAnsi="Arial" w:cs="Arial"/>
        </w:rPr>
        <w:t xml:space="preserve">(Attachment A) </w:t>
      </w:r>
      <w:r w:rsidR="009C792E">
        <w:rPr>
          <w:rFonts w:ascii="Arial" w:hAnsi="Arial" w:cs="Arial"/>
        </w:rPr>
        <w:t>emphasizes</w:t>
      </w:r>
      <w:r w:rsidR="00CA4CE2">
        <w:rPr>
          <w:rFonts w:ascii="Arial" w:hAnsi="Arial" w:cs="Arial"/>
        </w:rPr>
        <w:t xml:space="preserve"> that the current fee structure is at odds with the</w:t>
      </w:r>
      <w:r w:rsidR="00A91089">
        <w:rPr>
          <w:rFonts w:ascii="Arial" w:hAnsi="Arial" w:cs="Arial"/>
        </w:rPr>
        <w:t xml:space="preserve"> </w:t>
      </w:r>
      <w:r w:rsidR="00576432">
        <w:rPr>
          <w:rFonts w:ascii="Arial" w:hAnsi="Arial" w:cs="Arial"/>
        </w:rPr>
        <w:t xml:space="preserve">County's </w:t>
      </w:r>
      <w:r w:rsidR="00A91089">
        <w:rPr>
          <w:rFonts w:ascii="Arial" w:hAnsi="Arial" w:cs="Arial"/>
        </w:rPr>
        <w:t>environmental goals</w:t>
      </w:r>
      <w:r w:rsidR="0047599A">
        <w:rPr>
          <w:rFonts w:ascii="Arial" w:hAnsi="Arial" w:cs="Arial"/>
        </w:rPr>
        <w:t>, in particular the goal to achieve zero waste of resources by 2030 with an interim goal of a 70 percent recycling rate.</w:t>
      </w:r>
      <w:r w:rsidR="00934F59">
        <w:rPr>
          <w:rStyle w:val="FootnoteReference"/>
          <w:rFonts w:ascii="Arial" w:hAnsi="Arial" w:cs="Arial"/>
        </w:rPr>
        <w:footnoteReference w:id="11"/>
      </w:r>
      <w:r w:rsidR="0047599A">
        <w:rPr>
          <w:rFonts w:ascii="Arial" w:hAnsi="Arial" w:cs="Arial"/>
        </w:rPr>
        <w:t xml:space="preserve"> Executive staff highlight that</w:t>
      </w:r>
      <w:r w:rsidR="001A2F01">
        <w:rPr>
          <w:rFonts w:ascii="Arial" w:hAnsi="Arial" w:cs="Arial"/>
        </w:rPr>
        <w:t xml:space="preserve"> a</w:t>
      </w:r>
      <w:r w:rsidR="00A91089">
        <w:rPr>
          <w:rFonts w:ascii="Arial" w:hAnsi="Arial" w:cs="Arial"/>
        </w:rPr>
        <w:t xml:space="preserve">s SWD takes further </w:t>
      </w:r>
      <w:r w:rsidR="001A2F01">
        <w:rPr>
          <w:rFonts w:ascii="Arial" w:hAnsi="Arial" w:cs="Arial"/>
        </w:rPr>
        <w:t>r</w:t>
      </w:r>
      <w:r w:rsidR="00D436A3">
        <w:rPr>
          <w:rFonts w:ascii="Arial" w:hAnsi="Arial" w:cs="Arial"/>
        </w:rPr>
        <w:t xml:space="preserve">ecycling and waste prevention </w:t>
      </w:r>
      <w:r w:rsidR="00A91089">
        <w:rPr>
          <w:rFonts w:ascii="Arial" w:hAnsi="Arial" w:cs="Arial"/>
        </w:rPr>
        <w:t xml:space="preserve">steps to </w:t>
      </w:r>
      <w:r w:rsidR="00CF1365">
        <w:rPr>
          <w:rFonts w:ascii="Arial" w:hAnsi="Arial" w:cs="Arial"/>
        </w:rPr>
        <w:t>be outlined in the forthcoming RE+ Plan</w:t>
      </w:r>
      <w:r w:rsidR="00A91089">
        <w:rPr>
          <w:rFonts w:ascii="Arial" w:hAnsi="Arial" w:cs="Arial"/>
        </w:rPr>
        <w:t>,</w:t>
      </w:r>
      <w:r w:rsidR="00CF1365">
        <w:rPr>
          <w:rStyle w:val="FootnoteReference"/>
          <w:rFonts w:ascii="Arial" w:hAnsi="Arial" w:cs="Arial"/>
        </w:rPr>
        <w:footnoteReference w:id="12"/>
      </w:r>
      <w:r w:rsidR="00A91089">
        <w:rPr>
          <w:rFonts w:ascii="Arial" w:hAnsi="Arial" w:cs="Arial"/>
        </w:rPr>
        <w:t xml:space="preserve"> more tonnage may be diverted from disposal </w:t>
      </w:r>
      <w:r w:rsidR="00D436A3">
        <w:rPr>
          <w:rFonts w:ascii="Arial" w:hAnsi="Arial" w:cs="Arial"/>
        </w:rPr>
        <w:t>resulting in less revenue to SWD than if the materials had been disposed.</w:t>
      </w:r>
      <w:r w:rsidR="00A91089">
        <w:rPr>
          <w:rFonts w:ascii="Arial" w:hAnsi="Arial" w:cs="Arial"/>
        </w:rPr>
        <w:t xml:space="preserve"> </w:t>
      </w:r>
      <w:r w:rsidR="00A404AD">
        <w:rPr>
          <w:rFonts w:ascii="Arial" w:hAnsi="Arial" w:cs="Arial"/>
        </w:rPr>
        <w:t xml:space="preserve">Executive staff indicate, for example, that if disposal tonnage decreases from 870,000 tons to 350,000, which is equal to a 60 percent reduction, the weight-based fee would need to increase </w:t>
      </w:r>
      <w:r w:rsidR="003246A2">
        <w:rPr>
          <w:rFonts w:ascii="Arial" w:hAnsi="Arial" w:cs="Arial"/>
        </w:rPr>
        <w:t xml:space="preserve">to $350 per ton to generate the same amount of revenue needed to continue existing services. </w:t>
      </w:r>
    </w:p>
    <w:p w14:paraId="349112F8" w14:textId="77777777" w:rsidR="00935EBC" w:rsidRDefault="00935EBC" w:rsidP="00FF3B74">
      <w:pPr>
        <w:widowControl w:val="0"/>
        <w:jc w:val="both"/>
        <w:rPr>
          <w:rFonts w:ascii="Arial" w:hAnsi="Arial" w:cs="Arial"/>
        </w:rPr>
      </w:pPr>
    </w:p>
    <w:p w14:paraId="0E8AA100" w14:textId="16410995" w:rsidR="00A37831" w:rsidRDefault="009A2FB1" w:rsidP="00FF3B74">
      <w:pPr>
        <w:widowControl w:val="0"/>
        <w:jc w:val="both"/>
        <w:rPr>
          <w:rFonts w:ascii="Arial" w:hAnsi="Arial" w:cs="Arial"/>
        </w:rPr>
      </w:pPr>
      <w:r>
        <w:rPr>
          <w:rFonts w:ascii="Arial" w:hAnsi="Arial" w:cs="Arial"/>
        </w:rPr>
        <w:t xml:space="preserve">Given these factors, </w:t>
      </w:r>
      <w:r w:rsidR="00935EBC">
        <w:rPr>
          <w:rFonts w:ascii="Arial" w:hAnsi="Arial" w:cs="Arial"/>
        </w:rPr>
        <w:t xml:space="preserve">Executive staff </w:t>
      </w:r>
      <w:r w:rsidR="00754B15">
        <w:rPr>
          <w:rFonts w:ascii="Arial" w:hAnsi="Arial" w:cs="Arial"/>
        </w:rPr>
        <w:t>seek</w:t>
      </w:r>
      <w:r w:rsidR="00935EBC">
        <w:rPr>
          <w:rFonts w:ascii="Arial" w:hAnsi="Arial" w:cs="Arial"/>
        </w:rPr>
        <w:t xml:space="preserve"> to diversify the revenue stream</w:t>
      </w:r>
      <w:r>
        <w:rPr>
          <w:rFonts w:ascii="Arial" w:hAnsi="Arial" w:cs="Arial"/>
        </w:rPr>
        <w:t xml:space="preserve"> with the proposed ordinance</w:t>
      </w:r>
      <w:r w:rsidR="00935EBC">
        <w:rPr>
          <w:rFonts w:ascii="Arial" w:hAnsi="Arial" w:cs="Arial"/>
        </w:rPr>
        <w:t xml:space="preserve"> such that part of the revenue is from fixed sources that change very little over a specified time horizon because they are based on more stable factors.</w:t>
      </w:r>
    </w:p>
    <w:p w14:paraId="5819591E" w14:textId="5F7CB262" w:rsidR="00681B7C" w:rsidRDefault="00681B7C" w:rsidP="00FF3B74">
      <w:pPr>
        <w:widowControl w:val="0"/>
        <w:jc w:val="both"/>
        <w:rPr>
          <w:rFonts w:ascii="Arial" w:hAnsi="Arial" w:cs="Arial"/>
        </w:rPr>
      </w:pPr>
    </w:p>
    <w:p w14:paraId="4D0FCF7C" w14:textId="462D98C2" w:rsidR="00424C9B" w:rsidRDefault="00B52E41" w:rsidP="00424C9B">
      <w:pPr>
        <w:widowControl w:val="0"/>
        <w:jc w:val="both"/>
        <w:rPr>
          <w:rFonts w:ascii="Arial" w:hAnsi="Arial" w:cs="Arial"/>
          <w:bCs/>
          <w:szCs w:val="24"/>
        </w:rPr>
      </w:pPr>
      <w:r>
        <w:rPr>
          <w:rFonts w:ascii="Arial" w:hAnsi="Arial" w:cs="Arial"/>
          <w:b/>
          <w:szCs w:val="24"/>
        </w:rPr>
        <w:t xml:space="preserve">Fee Restructure Proposal Development. </w:t>
      </w:r>
      <w:r w:rsidR="009A74D5">
        <w:rPr>
          <w:rFonts w:ascii="Arial" w:hAnsi="Arial" w:cs="Arial"/>
          <w:bCs/>
          <w:szCs w:val="24"/>
        </w:rPr>
        <w:t>SWD engaged with a local consultant specializing</w:t>
      </w:r>
      <w:r w:rsidR="007877E3">
        <w:rPr>
          <w:rFonts w:ascii="Arial" w:hAnsi="Arial" w:cs="Arial"/>
          <w:bCs/>
          <w:szCs w:val="24"/>
        </w:rPr>
        <w:t xml:space="preserve"> in public utility </w:t>
      </w:r>
      <w:r w:rsidR="00112743">
        <w:rPr>
          <w:rFonts w:ascii="Arial" w:hAnsi="Arial" w:cs="Arial"/>
          <w:bCs/>
          <w:szCs w:val="24"/>
        </w:rPr>
        <w:t>fee</w:t>
      </w:r>
      <w:r w:rsidR="007877E3">
        <w:rPr>
          <w:rFonts w:ascii="Arial" w:hAnsi="Arial" w:cs="Arial"/>
          <w:bCs/>
          <w:szCs w:val="24"/>
        </w:rPr>
        <w:t xml:space="preserve"> design, FCS Group, t</w:t>
      </w:r>
      <w:r w:rsidR="00676BCC">
        <w:rPr>
          <w:rFonts w:ascii="Arial" w:hAnsi="Arial" w:cs="Arial"/>
          <w:bCs/>
          <w:szCs w:val="24"/>
        </w:rPr>
        <w:t xml:space="preserve">o complete a cost-of-service </w:t>
      </w:r>
      <w:r w:rsidR="00112743">
        <w:rPr>
          <w:rFonts w:ascii="Arial" w:hAnsi="Arial" w:cs="Arial"/>
          <w:bCs/>
          <w:szCs w:val="24"/>
        </w:rPr>
        <w:t>fee</w:t>
      </w:r>
      <w:r w:rsidR="00676BCC">
        <w:rPr>
          <w:rFonts w:ascii="Arial" w:hAnsi="Arial" w:cs="Arial"/>
          <w:bCs/>
          <w:szCs w:val="24"/>
        </w:rPr>
        <w:t xml:space="preserve"> study with a multi-year financial forecast</w:t>
      </w:r>
      <w:r w:rsidR="006E1614">
        <w:rPr>
          <w:rFonts w:ascii="Arial" w:hAnsi="Arial" w:cs="Arial"/>
          <w:bCs/>
          <w:szCs w:val="24"/>
        </w:rPr>
        <w:t xml:space="preserve">, as well as </w:t>
      </w:r>
      <w:r w:rsidR="00676BCC">
        <w:rPr>
          <w:rFonts w:ascii="Arial" w:hAnsi="Arial" w:cs="Arial"/>
          <w:bCs/>
          <w:szCs w:val="24"/>
        </w:rPr>
        <w:t xml:space="preserve">evaluate and propose options for restructuring the </w:t>
      </w:r>
      <w:r w:rsidR="00112743">
        <w:rPr>
          <w:rFonts w:ascii="Arial" w:hAnsi="Arial" w:cs="Arial"/>
          <w:bCs/>
          <w:szCs w:val="24"/>
        </w:rPr>
        <w:t>fees</w:t>
      </w:r>
      <w:r w:rsidR="00676BCC">
        <w:rPr>
          <w:rFonts w:ascii="Arial" w:hAnsi="Arial" w:cs="Arial"/>
          <w:bCs/>
          <w:szCs w:val="24"/>
        </w:rPr>
        <w:t xml:space="preserve"> so </w:t>
      </w:r>
      <w:r w:rsidR="00112743">
        <w:rPr>
          <w:rFonts w:ascii="Arial" w:hAnsi="Arial" w:cs="Arial"/>
          <w:bCs/>
          <w:szCs w:val="24"/>
        </w:rPr>
        <w:t xml:space="preserve">they are </w:t>
      </w:r>
      <w:r w:rsidR="00676BCC">
        <w:rPr>
          <w:rFonts w:ascii="Arial" w:hAnsi="Arial" w:cs="Arial"/>
          <w:bCs/>
          <w:szCs w:val="24"/>
        </w:rPr>
        <w:t>less</w:t>
      </w:r>
      <w:r w:rsidR="002E5B81">
        <w:rPr>
          <w:rFonts w:ascii="Arial" w:hAnsi="Arial" w:cs="Arial"/>
          <w:bCs/>
          <w:szCs w:val="24"/>
        </w:rPr>
        <w:t xml:space="preserve"> dependent on landfill tons.</w:t>
      </w:r>
      <w:r w:rsidR="00686017">
        <w:rPr>
          <w:rFonts w:ascii="Arial" w:hAnsi="Arial" w:cs="Arial"/>
          <w:bCs/>
          <w:szCs w:val="24"/>
        </w:rPr>
        <w:t xml:space="preserve"> </w:t>
      </w:r>
      <w:r w:rsidR="00424C9B">
        <w:rPr>
          <w:rFonts w:ascii="Arial" w:hAnsi="Arial" w:cs="Arial"/>
          <w:bCs/>
          <w:szCs w:val="24"/>
        </w:rPr>
        <w:t>The full FCS Group report is included in Attachment A to the proposed ordinance.</w:t>
      </w:r>
    </w:p>
    <w:p w14:paraId="3D417D9D" w14:textId="77777777" w:rsidR="00424C9B" w:rsidRDefault="00424C9B" w:rsidP="00424C9B">
      <w:pPr>
        <w:widowControl w:val="0"/>
        <w:jc w:val="both"/>
        <w:rPr>
          <w:rFonts w:ascii="Arial" w:hAnsi="Arial" w:cs="Arial"/>
          <w:bCs/>
          <w:szCs w:val="24"/>
        </w:rPr>
      </w:pPr>
    </w:p>
    <w:p w14:paraId="37CB102D" w14:textId="76CB20AC" w:rsidR="00660DC5" w:rsidRDefault="006E1614" w:rsidP="00FF3B74">
      <w:pPr>
        <w:widowControl w:val="0"/>
        <w:jc w:val="both"/>
        <w:rPr>
          <w:rFonts w:ascii="Arial" w:hAnsi="Arial" w:cs="Arial"/>
          <w:b/>
          <w:bCs/>
        </w:rPr>
      </w:pPr>
      <w:r>
        <w:rPr>
          <w:rFonts w:ascii="Arial" w:hAnsi="Arial" w:cs="Arial"/>
          <w:bCs/>
          <w:szCs w:val="24"/>
        </w:rPr>
        <w:t>For</w:t>
      </w:r>
      <w:r w:rsidR="0014083F">
        <w:rPr>
          <w:rFonts w:ascii="Arial" w:hAnsi="Arial" w:cs="Arial"/>
          <w:bCs/>
          <w:szCs w:val="24"/>
        </w:rPr>
        <w:t xml:space="preserve"> the cost-of</w:t>
      </w:r>
      <w:r>
        <w:rPr>
          <w:rFonts w:ascii="Arial" w:hAnsi="Arial" w:cs="Arial"/>
          <w:bCs/>
          <w:szCs w:val="24"/>
        </w:rPr>
        <w:t>-</w:t>
      </w:r>
      <w:r w:rsidR="0014083F">
        <w:rPr>
          <w:rFonts w:ascii="Arial" w:hAnsi="Arial" w:cs="Arial"/>
          <w:bCs/>
          <w:szCs w:val="24"/>
        </w:rPr>
        <w:t xml:space="preserve">service fee study, </w:t>
      </w:r>
      <w:r w:rsidR="00DC01BC">
        <w:rPr>
          <w:rFonts w:ascii="Arial" w:hAnsi="Arial" w:cs="Arial"/>
          <w:bCs/>
          <w:szCs w:val="24"/>
        </w:rPr>
        <w:t xml:space="preserve">FCS Group </w:t>
      </w:r>
      <w:r w:rsidR="00376378">
        <w:rPr>
          <w:rFonts w:ascii="Arial" w:hAnsi="Arial" w:cs="Arial"/>
          <w:bCs/>
          <w:szCs w:val="24"/>
        </w:rPr>
        <w:t>determined how different customer types (e.g., contract haulers, self-haul customers) use the system in different ways and therefore impose different costs</w:t>
      </w:r>
      <w:r w:rsidR="00AE25F3">
        <w:rPr>
          <w:rFonts w:ascii="Arial" w:hAnsi="Arial" w:cs="Arial"/>
          <w:bCs/>
          <w:szCs w:val="24"/>
        </w:rPr>
        <w:t xml:space="preserve"> on the system</w:t>
      </w:r>
      <w:r w:rsidR="00DC73F9">
        <w:rPr>
          <w:rFonts w:ascii="Arial" w:hAnsi="Arial" w:cs="Arial"/>
          <w:bCs/>
          <w:szCs w:val="24"/>
        </w:rPr>
        <w:t>.</w:t>
      </w:r>
      <w:r w:rsidR="00AE25F3">
        <w:rPr>
          <w:rFonts w:ascii="Arial" w:hAnsi="Arial" w:cs="Arial"/>
          <w:bCs/>
          <w:szCs w:val="24"/>
        </w:rPr>
        <w:t xml:space="preserve"> For example, co</w:t>
      </w:r>
      <w:r w:rsidR="00253EF1">
        <w:rPr>
          <w:rFonts w:ascii="Arial" w:hAnsi="Arial" w:cs="Arial"/>
          <w:bCs/>
          <w:szCs w:val="24"/>
        </w:rPr>
        <w:t xml:space="preserve">mmercial </w:t>
      </w:r>
      <w:r w:rsidR="00D74522">
        <w:rPr>
          <w:rFonts w:ascii="Arial" w:hAnsi="Arial" w:cs="Arial"/>
          <w:bCs/>
          <w:szCs w:val="24"/>
        </w:rPr>
        <w:t>transfer station customers move more quickly through the scale house</w:t>
      </w:r>
      <w:r w:rsidR="00906519">
        <w:rPr>
          <w:rFonts w:ascii="Arial" w:hAnsi="Arial" w:cs="Arial"/>
          <w:bCs/>
          <w:szCs w:val="24"/>
        </w:rPr>
        <w:t xml:space="preserve"> due to automated billing</w:t>
      </w:r>
      <w:r w:rsidR="00BC4A71">
        <w:rPr>
          <w:rFonts w:ascii="Arial" w:hAnsi="Arial" w:cs="Arial"/>
          <w:bCs/>
          <w:szCs w:val="24"/>
        </w:rPr>
        <w:t xml:space="preserve"> and spend less time on the tipping floor than self-haul customers. However, the</w:t>
      </w:r>
      <w:r w:rsidR="00B25E80">
        <w:rPr>
          <w:rFonts w:ascii="Arial" w:hAnsi="Arial" w:cs="Arial"/>
          <w:bCs/>
          <w:szCs w:val="24"/>
        </w:rPr>
        <w:t>y also account for more tonnage, and therefore require more County transfer drivers to haul the material from the transfer station to the landfill.</w:t>
      </w:r>
      <w:r w:rsidR="00DC73F9">
        <w:rPr>
          <w:rFonts w:ascii="Arial" w:hAnsi="Arial" w:cs="Arial"/>
          <w:bCs/>
          <w:szCs w:val="24"/>
        </w:rPr>
        <w:t xml:space="preserve"> </w:t>
      </w:r>
      <w:r w:rsidR="00CD4CD6">
        <w:rPr>
          <w:rFonts w:ascii="Arial" w:hAnsi="Arial" w:cs="Arial"/>
        </w:rPr>
        <w:t xml:space="preserve">The consultant recommended focusing on the commercial customer class revenue stream for </w:t>
      </w:r>
      <w:r>
        <w:rPr>
          <w:rFonts w:ascii="Arial" w:hAnsi="Arial" w:cs="Arial"/>
        </w:rPr>
        <w:t>the fee restructure</w:t>
      </w:r>
      <w:r w:rsidR="00CD4CD6">
        <w:rPr>
          <w:rFonts w:ascii="Arial" w:hAnsi="Arial" w:cs="Arial"/>
        </w:rPr>
        <w:t xml:space="preserve"> because it represents the single largest revenue stream for SWD and therefore has the greatest potential for stabilizing revenue. </w:t>
      </w:r>
    </w:p>
    <w:p w14:paraId="007DE815" w14:textId="77777777" w:rsidR="00660DC5" w:rsidRDefault="00660DC5" w:rsidP="00FF3B74">
      <w:pPr>
        <w:widowControl w:val="0"/>
        <w:jc w:val="both"/>
        <w:rPr>
          <w:rFonts w:ascii="Arial" w:hAnsi="Arial" w:cs="Arial"/>
          <w:b/>
          <w:bCs/>
        </w:rPr>
      </w:pPr>
    </w:p>
    <w:p w14:paraId="547624CF" w14:textId="04385768" w:rsidR="0038231A" w:rsidRDefault="008412DD" w:rsidP="00FF3B74">
      <w:pPr>
        <w:widowControl w:val="0"/>
        <w:jc w:val="both"/>
        <w:rPr>
          <w:rFonts w:ascii="Arial" w:hAnsi="Arial" w:cs="Arial"/>
          <w:bCs/>
          <w:szCs w:val="24"/>
        </w:rPr>
      </w:pPr>
      <w:r>
        <w:rPr>
          <w:rFonts w:ascii="Arial" w:hAnsi="Arial" w:cs="Arial"/>
          <w:bCs/>
          <w:szCs w:val="24"/>
        </w:rPr>
        <w:t xml:space="preserve">Executive staff indicate that </w:t>
      </w:r>
      <w:r w:rsidR="00542FC2">
        <w:rPr>
          <w:rFonts w:ascii="Arial" w:hAnsi="Arial" w:cs="Arial"/>
          <w:bCs/>
          <w:szCs w:val="24"/>
        </w:rPr>
        <w:t xml:space="preserve">SWD also convened a Rate Restructure Task Force comprised of </w:t>
      </w:r>
      <w:r>
        <w:rPr>
          <w:rFonts w:ascii="Arial" w:hAnsi="Arial" w:cs="Arial"/>
          <w:bCs/>
          <w:szCs w:val="24"/>
        </w:rPr>
        <w:t>subject matter experts, stakeholders, an interested community members to review options</w:t>
      </w:r>
      <w:r w:rsidR="003814D1">
        <w:rPr>
          <w:rFonts w:ascii="Arial" w:hAnsi="Arial" w:cs="Arial"/>
          <w:bCs/>
          <w:szCs w:val="24"/>
        </w:rPr>
        <w:t xml:space="preserve"> and provide feedback on elements of the restructure.</w:t>
      </w:r>
    </w:p>
    <w:p w14:paraId="61280324" w14:textId="57029F73" w:rsidR="00D60070" w:rsidRDefault="006E1614" w:rsidP="00E87645">
      <w:pPr>
        <w:widowControl w:val="0"/>
        <w:jc w:val="both"/>
        <w:rPr>
          <w:rFonts w:ascii="Arial" w:hAnsi="Arial" w:cs="Arial"/>
          <w:bCs/>
          <w:szCs w:val="24"/>
        </w:rPr>
      </w:pPr>
      <w:r>
        <w:rPr>
          <w:rFonts w:ascii="Arial" w:hAnsi="Arial" w:cs="Arial"/>
          <w:bCs/>
          <w:szCs w:val="24"/>
        </w:rPr>
        <w:lastRenderedPageBreak/>
        <w:t xml:space="preserve">The narrative accompanying the proposed ordinance </w:t>
      </w:r>
      <w:r w:rsidR="00D60070">
        <w:rPr>
          <w:rFonts w:ascii="Arial" w:hAnsi="Arial" w:cs="Arial"/>
          <w:bCs/>
          <w:szCs w:val="24"/>
        </w:rPr>
        <w:t>states that SWD, with input from the Rate Restructure Task Force and the consultant, identified five key objectives for the restructure</w:t>
      </w:r>
      <w:r>
        <w:rPr>
          <w:rFonts w:ascii="Arial" w:hAnsi="Arial" w:cs="Arial"/>
          <w:bCs/>
          <w:szCs w:val="24"/>
        </w:rPr>
        <w:t xml:space="preserve">, which are </w:t>
      </w:r>
      <w:r w:rsidR="00436394">
        <w:rPr>
          <w:rFonts w:ascii="Arial" w:hAnsi="Arial" w:cs="Arial"/>
          <w:bCs/>
          <w:szCs w:val="24"/>
        </w:rPr>
        <w:t>summarized below</w:t>
      </w:r>
      <w:r w:rsidR="00D60070">
        <w:rPr>
          <w:rFonts w:ascii="Arial" w:hAnsi="Arial" w:cs="Arial"/>
          <w:bCs/>
          <w:szCs w:val="24"/>
        </w:rPr>
        <w:t>:</w:t>
      </w:r>
    </w:p>
    <w:p w14:paraId="3392DEB4" w14:textId="2476691F" w:rsidR="00D60070" w:rsidRDefault="00D60070" w:rsidP="00E87645">
      <w:pPr>
        <w:widowControl w:val="0"/>
        <w:jc w:val="both"/>
        <w:rPr>
          <w:rFonts w:ascii="Arial" w:hAnsi="Arial" w:cs="Arial"/>
          <w:bCs/>
          <w:szCs w:val="24"/>
        </w:rPr>
      </w:pPr>
    </w:p>
    <w:p w14:paraId="6DAB99E8" w14:textId="0FC393E3" w:rsidR="00D60070" w:rsidRPr="00194A9F" w:rsidRDefault="00194A9F" w:rsidP="00E87645">
      <w:pPr>
        <w:pStyle w:val="ListParagraph0"/>
        <w:widowControl w:val="0"/>
        <w:numPr>
          <w:ilvl w:val="0"/>
          <w:numId w:val="8"/>
        </w:numPr>
        <w:spacing w:line="240" w:lineRule="auto"/>
        <w:jc w:val="both"/>
        <w:rPr>
          <w:rFonts w:ascii="Arial" w:hAnsi="Arial" w:cs="Arial"/>
        </w:rPr>
      </w:pPr>
      <w:r w:rsidRPr="00194A9F">
        <w:rPr>
          <w:rFonts w:ascii="Arial" w:hAnsi="Arial" w:cs="Arial"/>
          <w:i/>
          <w:iCs/>
        </w:rPr>
        <w:t>Improve Rate Stability</w:t>
      </w:r>
      <w:r w:rsidRPr="00194A9F">
        <w:rPr>
          <w:rFonts w:ascii="Arial" w:hAnsi="Arial" w:cs="Arial"/>
        </w:rPr>
        <w:t xml:space="preserve">: </w:t>
      </w:r>
      <w:r w:rsidR="00037595">
        <w:rPr>
          <w:rFonts w:ascii="Arial" w:hAnsi="Arial" w:cs="Arial"/>
        </w:rPr>
        <w:t>Maintain existing services while avoiding large fee increases</w:t>
      </w:r>
      <w:r w:rsidR="00436394">
        <w:rPr>
          <w:rFonts w:ascii="Arial" w:hAnsi="Arial" w:cs="Arial"/>
        </w:rPr>
        <w:t xml:space="preserve"> caused by decreasing tonnage;</w:t>
      </w:r>
    </w:p>
    <w:p w14:paraId="794552D0" w14:textId="77777777" w:rsidR="00436394" w:rsidRPr="00436394" w:rsidRDefault="00436394" w:rsidP="00E87645">
      <w:pPr>
        <w:pStyle w:val="ListParagraph0"/>
        <w:widowControl w:val="0"/>
        <w:spacing w:line="240" w:lineRule="auto"/>
        <w:jc w:val="both"/>
        <w:rPr>
          <w:rFonts w:ascii="Arial" w:hAnsi="Arial" w:cs="Arial"/>
        </w:rPr>
      </w:pPr>
    </w:p>
    <w:p w14:paraId="5623174C" w14:textId="3DD41066" w:rsidR="00194A9F" w:rsidRPr="00194A9F" w:rsidRDefault="00194A9F" w:rsidP="00E87645">
      <w:pPr>
        <w:pStyle w:val="ListParagraph0"/>
        <w:widowControl w:val="0"/>
        <w:numPr>
          <w:ilvl w:val="0"/>
          <w:numId w:val="8"/>
        </w:numPr>
        <w:spacing w:line="240" w:lineRule="auto"/>
        <w:jc w:val="both"/>
        <w:rPr>
          <w:rFonts w:ascii="Arial" w:hAnsi="Arial" w:cs="Arial"/>
        </w:rPr>
      </w:pPr>
      <w:r w:rsidRPr="00194A9F">
        <w:rPr>
          <w:rFonts w:ascii="Arial" w:hAnsi="Arial" w:cs="Arial"/>
          <w:i/>
          <w:iCs/>
        </w:rPr>
        <w:t>Revenue Neutrality</w:t>
      </w:r>
      <w:r w:rsidRPr="00194A9F">
        <w:rPr>
          <w:rFonts w:ascii="Arial" w:hAnsi="Arial" w:cs="Arial"/>
        </w:rPr>
        <w:t>:</w:t>
      </w:r>
      <w:r w:rsidR="00436394">
        <w:rPr>
          <w:rFonts w:ascii="Arial" w:hAnsi="Arial" w:cs="Arial"/>
        </w:rPr>
        <w:t xml:space="preserve"> Generate the same amount of revenue that would</w:t>
      </w:r>
      <w:r w:rsidR="00E87645">
        <w:rPr>
          <w:rFonts w:ascii="Arial" w:hAnsi="Arial" w:cs="Arial"/>
        </w:rPr>
        <w:t xml:space="preserve"> be collected under the status quo fee structure, but in a more stable and sustainable way;</w:t>
      </w:r>
    </w:p>
    <w:p w14:paraId="1B7B12C8" w14:textId="77777777" w:rsidR="00436394" w:rsidRDefault="00436394" w:rsidP="00E87645">
      <w:pPr>
        <w:pStyle w:val="ListParagraph0"/>
        <w:widowControl w:val="0"/>
        <w:spacing w:line="240" w:lineRule="auto"/>
        <w:jc w:val="both"/>
        <w:rPr>
          <w:rFonts w:ascii="Arial" w:hAnsi="Arial" w:cs="Arial"/>
          <w:i/>
          <w:iCs/>
        </w:rPr>
      </w:pPr>
    </w:p>
    <w:p w14:paraId="44A35FA3" w14:textId="348F5DA0" w:rsidR="00194A9F" w:rsidRDefault="00194A9F" w:rsidP="00E87645">
      <w:pPr>
        <w:pStyle w:val="ListParagraph0"/>
        <w:widowControl w:val="0"/>
        <w:numPr>
          <w:ilvl w:val="0"/>
          <w:numId w:val="8"/>
        </w:numPr>
        <w:spacing w:line="240" w:lineRule="auto"/>
        <w:jc w:val="both"/>
        <w:rPr>
          <w:rFonts w:ascii="Arial" w:hAnsi="Arial" w:cs="Arial"/>
          <w:i/>
          <w:iCs/>
        </w:rPr>
      </w:pPr>
      <w:r w:rsidRPr="00194A9F">
        <w:rPr>
          <w:rFonts w:ascii="Arial" w:hAnsi="Arial" w:cs="Arial"/>
          <w:i/>
          <w:iCs/>
        </w:rPr>
        <w:t>Maintain</w:t>
      </w:r>
      <w:r>
        <w:rPr>
          <w:rFonts w:ascii="Arial" w:hAnsi="Arial" w:cs="Arial"/>
          <w:b/>
          <w:bCs/>
          <w:i/>
          <w:iCs/>
        </w:rPr>
        <w:t xml:space="preserve"> </w:t>
      </w:r>
      <w:r>
        <w:rPr>
          <w:rFonts w:ascii="Arial" w:hAnsi="Arial" w:cs="Arial"/>
          <w:i/>
          <w:iCs/>
        </w:rPr>
        <w:t>Intraclass Cost Equity:</w:t>
      </w:r>
      <w:r w:rsidR="00E87645">
        <w:rPr>
          <w:rFonts w:ascii="Arial" w:hAnsi="Arial" w:cs="Arial"/>
          <w:i/>
          <w:iCs/>
        </w:rPr>
        <w:t xml:space="preserve"> </w:t>
      </w:r>
      <w:r w:rsidR="001371C9">
        <w:rPr>
          <w:rFonts w:ascii="Arial" w:hAnsi="Arial" w:cs="Arial"/>
        </w:rPr>
        <w:t>Maintain cost equity between customers who use the County system in similar ways</w:t>
      </w:r>
      <w:r w:rsidR="00836E4C">
        <w:rPr>
          <w:rFonts w:ascii="Arial" w:hAnsi="Arial" w:cs="Arial"/>
        </w:rPr>
        <w:t xml:space="preserve"> such that customers within the same class of service face uniformly applied charges;</w:t>
      </w:r>
    </w:p>
    <w:p w14:paraId="3149D6E1" w14:textId="77777777" w:rsidR="00436394" w:rsidRDefault="00436394" w:rsidP="00E87645">
      <w:pPr>
        <w:pStyle w:val="ListParagraph0"/>
        <w:widowControl w:val="0"/>
        <w:spacing w:line="240" w:lineRule="auto"/>
        <w:jc w:val="both"/>
        <w:rPr>
          <w:rFonts w:ascii="Arial" w:hAnsi="Arial" w:cs="Arial"/>
          <w:i/>
          <w:iCs/>
        </w:rPr>
      </w:pPr>
    </w:p>
    <w:p w14:paraId="7B4E2F23" w14:textId="4267778A" w:rsidR="00194A9F" w:rsidRDefault="00194A9F" w:rsidP="00E87645">
      <w:pPr>
        <w:pStyle w:val="ListParagraph0"/>
        <w:widowControl w:val="0"/>
        <w:numPr>
          <w:ilvl w:val="0"/>
          <w:numId w:val="8"/>
        </w:numPr>
        <w:spacing w:line="240" w:lineRule="auto"/>
        <w:jc w:val="both"/>
        <w:rPr>
          <w:rFonts w:ascii="Arial" w:hAnsi="Arial" w:cs="Arial"/>
          <w:i/>
          <w:iCs/>
        </w:rPr>
      </w:pPr>
      <w:r>
        <w:rPr>
          <w:rFonts w:ascii="Arial" w:hAnsi="Arial" w:cs="Arial"/>
          <w:i/>
          <w:iCs/>
        </w:rPr>
        <w:t>Preserv</w:t>
      </w:r>
      <w:r w:rsidR="00E87645">
        <w:rPr>
          <w:rFonts w:ascii="Arial" w:hAnsi="Arial" w:cs="Arial"/>
          <w:i/>
          <w:iCs/>
        </w:rPr>
        <w:t>e</w:t>
      </w:r>
      <w:r>
        <w:rPr>
          <w:rFonts w:ascii="Arial" w:hAnsi="Arial" w:cs="Arial"/>
          <w:i/>
          <w:iCs/>
        </w:rPr>
        <w:t xml:space="preserve"> Intercity Cost Equity:</w:t>
      </w:r>
      <w:r w:rsidR="00836E4C">
        <w:rPr>
          <w:rFonts w:ascii="Arial" w:hAnsi="Arial" w:cs="Arial"/>
          <w:i/>
          <w:iCs/>
        </w:rPr>
        <w:t xml:space="preserve"> </w:t>
      </w:r>
      <w:r w:rsidR="00836E4C">
        <w:rPr>
          <w:rFonts w:ascii="Arial" w:hAnsi="Arial" w:cs="Arial"/>
        </w:rPr>
        <w:t>Avoid</w:t>
      </w:r>
      <w:r w:rsidR="00A969ED">
        <w:rPr>
          <w:rFonts w:ascii="Arial" w:hAnsi="Arial" w:cs="Arial"/>
        </w:rPr>
        <w:t xml:space="preserve"> shifts in disposal costs between cities</w:t>
      </w:r>
      <w:r w:rsidR="00E64747">
        <w:rPr>
          <w:rFonts w:ascii="Arial" w:hAnsi="Arial" w:cs="Arial"/>
        </w:rPr>
        <w:t>;</w:t>
      </w:r>
    </w:p>
    <w:p w14:paraId="4581E751" w14:textId="77777777" w:rsidR="00436394" w:rsidRDefault="00436394" w:rsidP="00E87645">
      <w:pPr>
        <w:pStyle w:val="ListParagraph0"/>
        <w:widowControl w:val="0"/>
        <w:spacing w:line="240" w:lineRule="auto"/>
        <w:jc w:val="both"/>
        <w:rPr>
          <w:rFonts w:ascii="Arial" w:hAnsi="Arial" w:cs="Arial"/>
          <w:i/>
          <w:iCs/>
        </w:rPr>
      </w:pPr>
    </w:p>
    <w:p w14:paraId="39FD5A77" w14:textId="1AABE296" w:rsidR="00194A9F" w:rsidRPr="00194A9F" w:rsidRDefault="00194A9F" w:rsidP="00E87645">
      <w:pPr>
        <w:pStyle w:val="ListParagraph0"/>
        <w:widowControl w:val="0"/>
        <w:numPr>
          <w:ilvl w:val="0"/>
          <w:numId w:val="8"/>
        </w:numPr>
        <w:spacing w:line="240" w:lineRule="auto"/>
        <w:jc w:val="both"/>
        <w:rPr>
          <w:rFonts w:ascii="Arial" w:hAnsi="Arial" w:cs="Arial"/>
          <w:i/>
          <w:iCs/>
        </w:rPr>
      </w:pPr>
      <w:r>
        <w:rPr>
          <w:rFonts w:ascii="Arial" w:hAnsi="Arial" w:cs="Arial"/>
          <w:i/>
          <w:iCs/>
        </w:rPr>
        <w:t xml:space="preserve">Incentives: </w:t>
      </w:r>
      <w:r w:rsidR="00E64747">
        <w:rPr>
          <w:rFonts w:ascii="Arial" w:hAnsi="Arial" w:cs="Arial"/>
        </w:rPr>
        <w:t>Preserve the existing incentives for cities and their residents and businesses</w:t>
      </w:r>
      <w:r w:rsidR="00CB1A5D">
        <w:rPr>
          <w:rFonts w:ascii="Arial" w:hAnsi="Arial" w:cs="Arial"/>
        </w:rPr>
        <w:t xml:space="preserve"> to reduce waste and recycle or compost more</w:t>
      </w:r>
      <w:r w:rsidR="006E1614">
        <w:rPr>
          <w:rFonts w:ascii="Arial" w:hAnsi="Arial" w:cs="Arial"/>
        </w:rPr>
        <w:t>,</w:t>
      </w:r>
      <w:r w:rsidR="00CB1A5D">
        <w:rPr>
          <w:rFonts w:ascii="Arial" w:hAnsi="Arial" w:cs="Arial"/>
        </w:rPr>
        <w:t xml:space="preserve"> thereby helping the County meet its waste reduction goals.</w:t>
      </w:r>
    </w:p>
    <w:p w14:paraId="4BF72F13" w14:textId="09F94C23" w:rsidR="00C10030" w:rsidRDefault="00C10030" w:rsidP="00E87645">
      <w:pPr>
        <w:widowControl w:val="0"/>
        <w:jc w:val="both"/>
        <w:rPr>
          <w:rFonts w:ascii="Arial" w:hAnsi="Arial" w:cs="Arial"/>
        </w:rPr>
      </w:pPr>
    </w:p>
    <w:p w14:paraId="0B385937" w14:textId="1DB2E60F" w:rsidR="0042030B" w:rsidRDefault="00AA521B" w:rsidP="00E87645">
      <w:pPr>
        <w:widowControl w:val="0"/>
        <w:jc w:val="both"/>
        <w:rPr>
          <w:rFonts w:ascii="Arial" w:hAnsi="Arial" w:cs="Arial"/>
        </w:rPr>
      </w:pPr>
      <w:r>
        <w:rPr>
          <w:rFonts w:ascii="Arial" w:hAnsi="Arial" w:cs="Arial"/>
        </w:rPr>
        <w:t xml:space="preserve">Additionally, </w:t>
      </w:r>
      <w:r w:rsidR="006E1614">
        <w:rPr>
          <w:rFonts w:ascii="Arial" w:hAnsi="Arial" w:cs="Arial"/>
        </w:rPr>
        <w:t>SWD also sought input from the two solid waste advisory committees. A</w:t>
      </w:r>
      <w:r w:rsidR="005B2649">
        <w:rPr>
          <w:rFonts w:ascii="Arial" w:hAnsi="Arial" w:cs="Arial"/>
        </w:rPr>
        <w:t>ccording to Executive staff, six meetings were held with each the Metropolitan Solid Waste (Management) Advisory Committee and with the Solid Waste Advisory Committee in 2021.</w:t>
      </w:r>
      <w:r w:rsidR="00FF5669">
        <w:rPr>
          <w:rFonts w:ascii="Arial" w:hAnsi="Arial" w:cs="Arial"/>
        </w:rPr>
        <w:t xml:space="preserve"> </w:t>
      </w:r>
      <w:r w:rsidR="006E1614">
        <w:rPr>
          <w:rFonts w:ascii="Arial" w:hAnsi="Arial" w:cs="Arial"/>
        </w:rPr>
        <w:t>Of the fee restructure options considered,</w:t>
      </w:r>
      <w:r w:rsidR="001E3F82">
        <w:rPr>
          <w:rFonts w:ascii="Arial" w:hAnsi="Arial" w:cs="Arial"/>
        </w:rPr>
        <w:t xml:space="preserve"> Executive staff note that</w:t>
      </w:r>
      <w:r w:rsidR="006E1614">
        <w:rPr>
          <w:rFonts w:ascii="Arial" w:hAnsi="Arial" w:cs="Arial"/>
        </w:rPr>
        <w:t xml:space="preserve"> </w:t>
      </w:r>
      <w:r w:rsidR="001E3F82">
        <w:rPr>
          <w:rFonts w:ascii="Arial" w:hAnsi="Arial" w:cs="Arial"/>
        </w:rPr>
        <w:t xml:space="preserve">the </w:t>
      </w:r>
      <w:r w:rsidR="006E1614">
        <w:rPr>
          <w:rFonts w:ascii="Arial" w:hAnsi="Arial" w:cs="Arial"/>
        </w:rPr>
        <w:t>fixed-annual charge</w:t>
      </w:r>
      <w:r w:rsidR="001E3F82">
        <w:rPr>
          <w:rFonts w:ascii="Arial" w:hAnsi="Arial" w:cs="Arial"/>
        </w:rPr>
        <w:t>, which is what is proposed by the ordinance,</w:t>
      </w:r>
      <w:r w:rsidR="006E1614">
        <w:rPr>
          <w:rFonts w:ascii="Arial" w:hAnsi="Arial" w:cs="Arial"/>
        </w:rPr>
        <w:t xml:space="preserve"> was identified as the preferred option by the two advisory committees</w:t>
      </w:r>
      <w:r w:rsidR="001E3F82">
        <w:rPr>
          <w:rFonts w:ascii="Arial" w:hAnsi="Arial" w:cs="Arial"/>
        </w:rPr>
        <w:t xml:space="preserve"> and that the majority of the membership present at the September meetings voiced support or stated their neutrality. </w:t>
      </w:r>
      <w:r w:rsidR="0052763F">
        <w:rPr>
          <w:rFonts w:ascii="Arial" w:hAnsi="Arial" w:cs="Arial"/>
        </w:rPr>
        <w:t>Adv</w:t>
      </w:r>
      <w:r w:rsidR="00FF3B74">
        <w:rPr>
          <w:rFonts w:ascii="Arial" w:hAnsi="Arial" w:cs="Arial"/>
        </w:rPr>
        <w:t>isory notes in support of the solid waste fee restructure proposal from both committees are provided as Attachments 5 and 6 to this staff report.</w:t>
      </w:r>
    </w:p>
    <w:p w14:paraId="73308857" w14:textId="27EB68F8" w:rsidR="00426AF9" w:rsidRDefault="00426AF9" w:rsidP="00E87645">
      <w:pPr>
        <w:widowControl w:val="0"/>
        <w:jc w:val="both"/>
        <w:rPr>
          <w:rFonts w:ascii="Arial" w:hAnsi="Arial" w:cs="Arial"/>
        </w:rPr>
      </w:pPr>
    </w:p>
    <w:p w14:paraId="0D26B336" w14:textId="4B185633" w:rsidR="00426AF9" w:rsidRDefault="00426AF9" w:rsidP="00E87645">
      <w:pPr>
        <w:widowControl w:val="0"/>
        <w:jc w:val="both"/>
        <w:rPr>
          <w:rFonts w:ascii="Arial" w:hAnsi="Arial" w:cs="Arial"/>
        </w:rPr>
      </w:pPr>
      <w:r w:rsidRPr="000B0C73">
        <w:rPr>
          <w:rFonts w:ascii="Arial" w:hAnsi="Arial" w:cs="Arial"/>
        </w:rPr>
        <w:t>The Budget and Fiscal Management Committee received a briefing on PO 2021-0449 on February 23, 2022.</w:t>
      </w:r>
    </w:p>
    <w:p w14:paraId="7F9770CE" w14:textId="77777777" w:rsidR="005B2649" w:rsidRDefault="005B2649" w:rsidP="005B2649">
      <w:pPr>
        <w:widowControl w:val="0"/>
        <w:spacing w:line="264" w:lineRule="auto"/>
        <w:jc w:val="both"/>
        <w:rPr>
          <w:rFonts w:ascii="Arial" w:hAnsi="Arial" w:cs="Arial"/>
          <w:b/>
          <w:smallCaps/>
          <w:szCs w:val="24"/>
          <w:u w:val="single"/>
        </w:rPr>
      </w:pPr>
    </w:p>
    <w:p w14:paraId="53A8DA3D" w14:textId="71D4C938" w:rsidR="006D4045" w:rsidRDefault="006D4045" w:rsidP="005B2649">
      <w:pPr>
        <w:widowControl w:val="0"/>
        <w:rPr>
          <w:rFonts w:ascii="Arial" w:hAnsi="Arial" w:cs="Arial"/>
          <w:b/>
          <w:smallCaps/>
          <w:szCs w:val="24"/>
          <w:u w:val="single"/>
        </w:rPr>
      </w:pPr>
      <w:r>
        <w:rPr>
          <w:rFonts w:ascii="Arial" w:hAnsi="Arial" w:cs="Arial"/>
          <w:b/>
          <w:smallCaps/>
          <w:szCs w:val="24"/>
          <w:u w:val="single"/>
        </w:rPr>
        <w:t>ANALYSIS</w:t>
      </w:r>
    </w:p>
    <w:p w14:paraId="0FC94A01" w14:textId="5FF24821" w:rsidR="006D4045" w:rsidRDefault="006D4045" w:rsidP="005B2649">
      <w:pPr>
        <w:widowControl w:val="0"/>
        <w:rPr>
          <w:rFonts w:ascii="Arial" w:hAnsi="Arial" w:cs="Arial"/>
        </w:rPr>
      </w:pPr>
    </w:p>
    <w:p w14:paraId="780DE225" w14:textId="520DDF12" w:rsidR="001E3F82" w:rsidRDefault="001E3F82" w:rsidP="001E3F82">
      <w:pPr>
        <w:widowControl w:val="0"/>
        <w:jc w:val="both"/>
        <w:rPr>
          <w:rFonts w:ascii="Arial" w:hAnsi="Arial" w:cs="Arial"/>
        </w:rPr>
      </w:pPr>
      <w:r>
        <w:rPr>
          <w:rFonts w:ascii="Arial" w:hAnsi="Arial" w:cs="Arial"/>
        </w:rPr>
        <w:t xml:space="preserve">Proposed Ordinance 2021-0449 would, beginning in 2023, restructure how SWD collects revenues that are generated by commercial haulers depositing waste in the County system. Specifically, the proposed ordinance would: 1) introduce a fixed fee referred to as the </w:t>
      </w:r>
      <w:r>
        <w:rPr>
          <w:rFonts w:ascii="Arial" w:hAnsi="Arial" w:cs="Arial"/>
          <w:i/>
          <w:iCs/>
        </w:rPr>
        <w:t>fixed-annual charge</w:t>
      </w:r>
      <w:r w:rsidRPr="004B6304">
        <w:rPr>
          <w:rFonts w:ascii="Arial" w:hAnsi="Arial" w:cs="Arial"/>
          <w:i/>
          <w:iCs/>
        </w:rPr>
        <w:t xml:space="preserve"> (FA</w:t>
      </w:r>
      <w:r>
        <w:rPr>
          <w:rFonts w:ascii="Arial" w:hAnsi="Arial" w:cs="Arial"/>
          <w:i/>
          <w:iCs/>
        </w:rPr>
        <w:t xml:space="preserve">C) </w:t>
      </w:r>
      <w:r>
        <w:rPr>
          <w:rFonts w:ascii="Arial" w:hAnsi="Arial" w:cs="Arial"/>
        </w:rPr>
        <w:t>that would not change based on system tons disposed; and 2) reduce the weight-based fee charged to commercial haulers from the current $154.02 per ton to $123.82 per ton.</w:t>
      </w:r>
      <w:r w:rsidRPr="001E3F82">
        <w:rPr>
          <w:rFonts w:ascii="Arial" w:hAnsi="Arial" w:cs="Arial"/>
        </w:rPr>
        <w:t xml:space="preserve"> </w:t>
      </w:r>
      <w:r>
        <w:rPr>
          <w:rFonts w:ascii="Arial" w:hAnsi="Arial" w:cs="Arial"/>
        </w:rPr>
        <w:t>According to Executive staff, moving to a mix of fixed and variable fees would help to mitigate the loss of revenue that occurs when tonnage declines.</w:t>
      </w:r>
    </w:p>
    <w:p w14:paraId="02B645AB" w14:textId="47A9A438" w:rsidR="001E3F82" w:rsidRDefault="001E3F82" w:rsidP="00FF3B74">
      <w:pPr>
        <w:widowControl w:val="0"/>
        <w:jc w:val="both"/>
        <w:rPr>
          <w:rFonts w:ascii="Arial" w:hAnsi="Arial" w:cs="Arial"/>
        </w:rPr>
      </w:pPr>
    </w:p>
    <w:p w14:paraId="773D78D9" w14:textId="1D2DC167" w:rsidR="0062619C" w:rsidRDefault="00730829" w:rsidP="00FF3B74">
      <w:pPr>
        <w:widowControl w:val="0"/>
        <w:jc w:val="both"/>
        <w:rPr>
          <w:rFonts w:ascii="Arial" w:hAnsi="Arial" w:cs="Arial"/>
        </w:rPr>
      </w:pPr>
      <w:r>
        <w:rPr>
          <w:rFonts w:ascii="Arial" w:hAnsi="Arial" w:cs="Arial"/>
          <w:b/>
          <w:bCs/>
        </w:rPr>
        <w:t xml:space="preserve">Fixed-Annual Charge. </w:t>
      </w:r>
      <w:r w:rsidR="004D027B">
        <w:rPr>
          <w:rFonts w:ascii="Arial" w:hAnsi="Arial" w:cs="Arial"/>
        </w:rPr>
        <w:t>As noted above, t</w:t>
      </w:r>
      <w:r w:rsidR="00352909">
        <w:rPr>
          <w:rFonts w:ascii="Arial" w:hAnsi="Arial" w:cs="Arial"/>
        </w:rPr>
        <w:t>he</w:t>
      </w:r>
      <w:r w:rsidR="00662E69">
        <w:rPr>
          <w:rFonts w:ascii="Arial" w:hAnsi="Arial" w:cs="Arial"/>
        </w:rPr>
        <w:t xml:space="preserve"> proposed ordinance would</w:t>
      </w:r>
      <w:r w:rsidR="00894570">
        <w:rPr>
          <w:rFonts w:ascii="Arial" w:hAnsi="Arial" w:cs="Arial"/>
        </w:rPr>
        <w:t xml:space="preserve"> </w:t>
      </w:r>
      <w:r w:rsidR="00D1300D">
        <w:rPr>
          <w:rFonts w:ascii="Arial" w:hAnsi="Arial" w:cs="Arial"/>
        </w:rPr>
        <w:t>introduce</w:t>
      </w:r>
      <w:r w:rsidR="00894570">
        <w:rPr>
          <w:rFonts w:ascii="Arial" w:hAnsi="Arial" w:cs="Arial"/>
        </w:rPr>
        <w:t xml:space="preserve"> </w:t>
      </w:r>
      <w:r w:rsidR="00352909">
        <w:rPr>
          <w:rFonts w:ascii="Arial" w:hAnsi="Arial" w:cs="Arial"/>
        </w:rPr>
        <w:t xml:space="preserve">in 2023 </w:t>
      </w:r>
      <w:r w:rsidR="00894570">
        <w:rPr>
          <w:rFonts w:ascii="Arial" w:hAnsi="Arial" w:cs="Arial"/>
        </w:rPr>
        <w:t>a</w:t>
      </w:r>
      <w:r w:rsidR="004F0795">
        <w:rPr>
          <w:rFonts w:ascii="Arial" w:hAnsi="Arial" w:cs="Arial"/>
        </w:rPr>
        <w:t xml:space="preserve"> </w:t>
      </w:r>
      <w:r w:rsidR="00894570">
        <w:rPr>
          <w:rFonts w:ascii="Arial" w:hAnsi="Arial" w:cs="Arial"/>
        </w:rPr>
        <w:t>fixed-annual charge</w:t>
      </w:r>
      <w:r w:rsidR="00C35970">
        <w:rPr>
          <w:rFonts w:ascii="Arial" w:hAnsi="Arial" w:cs="Arial"/>
        </w:rPr>
        <w:t xml:space="preserve"> (FAC)</w:t>
      </w:r>
      <w:r w:rsidR="005131D3">
        <w:rPr>
          <w:rFonts w:ascii="Arial" w:hAnsi="Arial" w:cs="Arial"/>
        </w:rPr>
        <w:t>, which is the</w:t>
      </w:r>
      <w:r w:rsidR="009334B7">
        <w:rPr>
          <w:rFonts w:ascii="Arial" w:hAnsi="Arial" w:cs="Arial"/>
        </w:rPr>
        <w:t xml:space="preserve"> </w:t>
      </w:r>
      <w:r w:rsidR="005131D3">
        <w:rPr>
          <w:rFonts w:ascii="Arial" w:hAnsi="Arial" w:cs="Arial"/>
        </w:rPr>
        <w:t>amount SWD would collect</w:t>
      </w:r>
      <w:r w:rsidR="0004200D">
        <w:rPr>
          <w:rFonts w:ascii="Arial" w:hAnsi="Arial" w:cs="Arial"/>
        </w:rPr>
        <w:t xml:space="preserve"> annually</w:t>
      </w:r>
      <w:r w:rsidR="005131D3">
        <w:rPr>
          <w:rFonts w:ascii="Arial" w:hAnsi="Arial" w:cs="Arial"/>
        </w:rPr>
        <w:t xml:space="preserve"> </w:t>
      </w:r>
      <w:r w:rsidR="00CB2308">
        <w:rPr>
          <w:rFonts w:ascii="Arial" w:hAnsi="Arial" w:cs="Arial"/>
        </w:rPr>
        <w:t xml:space="preserve">and collectively </w:t>
      </w:r>
      <w:r w:rsidR="005131D3">
        <w:rPr>
          <w:rFonts w:ascii="Arial" w:hAnsi="Arial" w:cs="Arial"/>
        </w:rPr>
        <w:t>from</w:t>
      </w:r>
      <w:r w:rsidR="00A71486">
        <w:rPr>
          <w:rFonts w:ascii="Arial" w:hAnsi="Arial" w:cs="Arial"/>
        </w:rPr>
        <w:t xml:space="preserve"> </w:t>
      </w:r>
      <w:r w:rsidR="00A71486" w:rsidRPr="004B6304">
        <w:rPr>
          <w:rFonts w:ascii="Arial" w:hAnsi="Arial" w:cs="Arial"/>
          <w:i/>
          <w:iCs/>
        </w:rPr>
        <w:t>billing entities</w:t>
      </w:r>
      <w:r w:rsidR="00A71486">
        <w:rPr>
          <w:rFonts w:ascii="Arial" w:hAnsi="Arial" w:cs="Arial"/>
        </w:rPr>
        <w:t xml:space="preserve"> </w:t>
      </w:r>
      <w:r w:rsidR="007B71BD">
        <w:rPr>
          <w:rFonts w:ascii="Arial" w:hAnsi="Arial" w:cs="Arial"/>
        </w:rPr>
        <w:t xml:space="preserve">-- either </w:t>
      </w:r>
      <w:r w:rsidR="00243AA4">
        <w:rPr>
          <w:rFonts w:ascii="Arial" w:hAnsi="Arial" w:cs="Arial"/>
        </w:rPr>
        <w:t xml:space="preserve">commercial </w:t>
      </w:r>
      <w:r w:rsidR="007B71BD">
        <w:rPr>
          <w:rFonts w:ascii="Arial" w:hAnsi="Arial" w:cs="Arial"/>
        </w:rPr>
        <w:t>haulers or cities</w:t>
      </w:r>
      <w:r w:rsidR="004D027B">
        <w:rPr>
          <w:rFonts w:ascii="Arial" w:hAnsi="Arial" w:cs="Arial"/>
        </w:rPr>
        <w:t xml:space="preserve"> that bill curbside customers directly</w:t>
      </w:r>
      <w:r w:rsidR="007B71BD">
        <w:rPr>
          <w:rFonts w:ascii="Arial" w:hAnsi="Arial" w:cs="Arial"/>
        </w:rPr>
        <w:t xml:space="preserve"> -- </w:t>
      </w:r>
      <w:r w:rsidR="00A71486">
        <w:rPr>
          <w:rFonts w:ascii="Arial" w:hAnsi="Arial" w:cs="Arial"/>
        </w:rPr>
        <w:t>to recover a portion of the costs of the Division's non</w:t>
      </w:r>
      <w:r>
        <w:rPr>
          <w:rFonts w:ascii="Arial" w:hAnsi="Arial" w:cs="Arial"/>
        </w:rPr>
        <w:t>-</w:t>
      </w:r>
      <w:r w:rsidR="00A71486">
        <w:rPr>
          <w:rFonts w:ascii="Arial" w:hAnsi="Arial" w:cs="Arial"/>
        </w:rPr>
        <w:lastRenderedPageBreak/>
        <w:t>disposal activities</w:t>
      </w:r>
      <w:r w:rsidR="008F7990">
        <w:rPr>
          <w:rFonts w:ascii="Arial" w:hAnsi="Arial" w:cs="Arial"/>
        </w:rPr>
        <w:t>.</w:t>
      </w:r>
      <w:r w:rsidR="00EE2C85">
        <w:rPr>
          <w:rFonts w:ascii="Arial" w:hAnsi="Arial" w:cs="Arial"/>
        </w:rPr>
        <w:t xml:space="preserve"> </w:t>
      </w:r>
    </w:p>
    <w:p w14:paraId="7C3B56D5" w14:textId="7F818EA8" w:rsidR="002845B0" w:rsidRDefault="002845B0" w:rsidP="00FF3B74">
      <w:pPr>
        <w:widowControl w:val="0"/>
        <w:jc w:val="both"/>
        <w:rPr>
          <w:rFonts w:ascii="Arial" w:hAnsi="Arial" w:cs="Arial"/>
        </w:rPr>
      </w:pPr>
    </w:p>
    <w:p w14:paraId="1FF7E217" w14:textId="006A7609" w:rsidR="00D0221A" w:rsidRDefault="00D0221A" w:rsidP="00FF3B74">
      <w:pPr>
        <w:keepNext/>
        <w:jc w:val="both"/>
        <w:rPr>
          <w:rFonts w:ascii="Arial" w:hAnsi="Arial" w:cs="Arial"/>
        </w:rPr>
      </w:pPr>
      <w:r>
        <w:rPr>
          <w:rFonts w:ascii="Arial" w:hAnsi="Arial" w:cs="Arial"/>
        </w:rPr>
        <w:t xml:space="preserve">Executive staff indicate that </w:t>
      </w:r>
      <w:r w:rsidR="00D13EB4">
        <w:rPr>
          <w:rFonts w:ascii="Arial" w:hAnsi="Arial" w:cs="Arial"/>
        </w:rPr>
        <w:t>a</w:t>
      </w:r>
      <w:r>
        <w:rPr>
          <w:rFonts w:ascii="Arial" w:hAnsi="Arial" w:cs="Arial"/>
        </w:rPr>
        <w:t xml:space="preserve"> fixed-annual charge </w:t>
      </w:r>
      <w:r w:rsidR="00D13EB4">
        <w:rPr>
          <w:rFonts w:ascii="Arial" w:hAnsi="Arial" w:cs="Arial"/>
        </w:rPr>
        <w:t>arrangement</w:t>
      </w:r>
      <w:r>
        <w:rPr>
          <w:rFonts w:ascii="Arial" w:hAnsi="Arial" w:cs="Arial"/>
        </w:rPr>
        <w:t xml:space="preserve"> is not used in any other solid waste system in Washington state, however noted that the following regional wholesale public utilities assess fixed charges or use rate structures that are not dependent on actual metered use of utility services: Bonneville Power Administration (electric); Cascade Water Alliance (water); Discovery Clean Water Alliance (wastewater); Oregon Metro (solid waste).</w:t>
      </w:r>
    </w:p>
    <w:p w14:paraId="48F599A1" w14:textId="77777777" w:rsidR="00C215E2" w:rsidRDefault="00C215E2" w:rsidP="00FF3B74">
      <w:pPr>
        <w:widowControl w:val="0"/>
        <w:jc w:val="both"/>
        <w:rPr>
          <w:rFonts w:ascii="Arial" w:hAnsi="Arial" w:cs="Arial"/>
        </w:rPr>
      </w:pPr>
    </w:p>
    <w:p w14:paraId="542B78AF" w14:textId="71855B18" w:rsidR="000B366B" w:rsidRDefault="00C215E2" w:rsidP="00FF3B74">
      <w:pPr>
        <w:widowControl w:val="0"/>
        <w:jc w:val="both"/>
        <w:rPr>
          <w:rFonts w:ascii="Arial" w:hAnsi="Arial" w:cs="Arial"/>
        </w:rPr>
      </w:pPr>
      <w:r>
        <w:rPr>
          <w:rFonts w:ascii="Arial" w:hAnsi="Arial" w:cs="Arial"/>
          <w:i/>
          <w:iCs/>
        </w:rPr>
        <w:t xml:space="preserve">How </w:t>
      </w:r>
      <w:r w:rsidR="0088263D">
        <w:rPr>
          <w:rFonts w:ascii="Arial" w:hAnsi="Arial" w:cs="Arial"/>
          <w:i/>
          <w:iCs/>
        </w:rPr>
        <w:t xml:space="preserve">the </w:t>
      </w:r>
      <w:r>
        <w:rPr>
          <w:rFonts w:ascii="Arial" w:hAnsi="Arial" w:cs="Arial"/>
          <w:i/>
          <w:iCs/>
        </w:rPr>
        <w:t xml:space="preserve">FAC </w:t>
      </w:r>
      <w:r w:rsidR="006979B4">
        <w:rPr>
          <w:rFonts w:ascii="Arial" w:hAnsi="Arial" w:cs="Arial"/>
          <w:i/>
          <w:iCs/>
        </w:rPr>
        <w:t>Amount was</w:t>
      </w:r>
      <w:r>
        <w:rPr>
          <w:rFonts w:ascii="Arial" w:hAnsi="Arial" w:cs="Arial"/>
          <w:i/>
          <w:iCs/>
        </w:rPr>
        <w:t xml:space="preserve"> Derived. </w:t>
      </w:r>
      <w:r w:rsidR="002D1D14">
        <w:rPr>
          <w:rFonts w:ascii="Arial" w:hAnsi="Arial" w:cs="Arial"/>
        </w:rPr>
        <w:t xml:space="preserve">The </w:t>
      </w:r>
      <w:r w:rsidR="00A51001">
        <w:rPr>
          <w:rFonts w:ascii="Arial" w:hAnsi="Arial" w:cs="Arial"/>
        </w:rPr>
        <w:t>proposed ordinance would set</w:t>
      </w:r>
      <w:r w:rsidR="00442B33">
        <w:rPr>
          <w:rFonts w:ascii="Arial" w:hAnsi="Arial" w:cs="Arial"/>
        </w:rPr>
        <w:t xml:space="preserve"> the </w:t>
      </w:r>
      <w:r w:rsidR="002D1D14">
        <w:rPr>
          <w:rFonts w:ascii="Arial" w:hAnsi="Arial" w:cs="Arial"/>
        </w:rPr>
        <w:t xml:space="preserve">FAC </w:t>
      </w:r>
      <w:r w:rsidR="001C5713">
        <w:rPr>
          <w:rFonts w:ascii="Arial" w:hAnsi="Arial" w:cs="Arial"/>
        </w:rPr>
        <w:t>at</w:t>
      </w:r>
      <w:r w:rsidR="006376A1">
        <w:rPr>
          <w:rFonts w:ascii="Arial" w:hAnsi="Arial" w:cs="Arial"/>
        </w:rPr>
        <w:t xml:space="preserve"> </w:t>
      </w:r>
      <w:r w:rsidR="00637924">
        <w:rPr>
          <w:rFonts w:ascii="Arial" w:hAnsi="Arial" w:cs="Arial"/>
        </w:rPr>
        <w:t>approximately $19.7 million</w:t>
      </w:r>
      <w:r w:rsidR="00BF6BA0" w:rsidRPr="00BF6BA0">
        <w:rPr>
          <w:rFonts w:ascii="Arial" w:hAnsi="Arial" w:cs="Arial"/>
        </w:rPr>
        <w:t xml:space="preserve"> </w:t>
      </w:r>
      <w:r w:rsidR="00B9662C">
        <w:rPr>
          <w:rFonts w:ascii="Arial" w:hAnsi="Arial" w:cs="Arial"/>
        </w:rPr>
        <w:t xml:space="preserve">for 2023 and </w:t>
      </w:r>
      <w:r w:rsidR="00BF6BA0">
        <w:rPr>
          <w:rFonts w:ascii="Arial" w:hAnsi="Arial" w:cs="Arial"/>
        </w:rPr>
        <w:t>until changed in the future by ordinance</w:t>
      </w:r>
      <w:r w:rsidR="00637924">
        <w:rPr>
          <w:rFonts w:ascii="Arial" w:hAnsi="Arial" w:cs="Arial"/>
        </w:rPr>
        <w:t>.</w:t>
      </w:r>
      <w:r w:rsidR="00BF6BA0">
        <w:rPr>
          <w:rFonts w:ascii="Arial" w:hAnsi="Arial" w:cs="Arial"/>
        </w:rPr>
        <w:t xml:space="preserve"> According to</w:t>
      </w:r>
      <w:r w:rsidR="001E3F82">
        <w:rPr>
          <w:rFonts w:ascii="Arial" w:hAnsi="Arial" w:cs="Arial"/>
        </w:rPr>
        <w:t xml:space="preserve"> the narrative accompanying </w:t>
      </w:r>
      <w:r w:rsidR="00BF6BA0">
        <w:rPr>
          <w:rFonts w:ascii="Arial" w:hAnsi="Arial" w:cs="Arial"/>
        </w:rPr>
        <w:t xml:space="preserve">the proposed ordinance, the FAC is based on the </w:t>
      </w:r>
      <w:r w:rsidR="008F0784">
        <w:rPr>
          <w:rFonts w:ascii="Arial" w:hAnsi="Arial" w:cs="Arial"/>
        </w:rPr>
        <w:t xml:space="preserve">consultant cost-of-service analysis, and specifically </w:t>
      </w:r>
      <w:r w:rsidR="00860157">
        <w:rPr>
          <w:rFonts w:ascii="Arial" w:hAnsi="Arial" w:cs="Arial"/>
        </w:rPr>
        <w:t xml:space="preserve">is the estimate of the </w:t>
      </w:r>
      <w:r w:rsidR="00BF6BA0">
        <w:rPr>
          <w:rFonts w:ascii="Arial" w:hAnsi="Arial" w:cs="Arial"/>
        </w:rPr>
        <w:t>non-disposal-relat</w:t>
      </w:r>
      <w:r w:rsidR="002D5CFE">
        <w:rPr>
          <w:rFonts w:ascii="Arial" w:hAnsi="Arial" w:cs="Arial"/>
        </w:rPr>
        <w:t xml:space="preserve">ed portion of the commercial customer class cost of service, which includes the zero waste of resources work (now known as the Re+ program), regional planning, and regulatory compliance work. </w:t>
      </w:r>
      <w:r w:rsidR="003C5237">
        <w:rPr>
          <w:rFonts w:ascii="Arial" w:hAnsi="Arial" w:cs="Arial"/>
        </w:rPr>
        <w:t>Using</w:t>
      </w:r>
      <w:r w:rsidR="008C2B5C">
        <w:rPr>
          <w:rFonts w:ascii="Arial" w:hAnsi="Arial" w:cs="Arial"/>
        </w:rPr>
        <w:t xml:space="preserve"> </w:t>
      </w:r>
      <w:r w:rsidR="001E3F82">
        <w:rPr>
          <w:rFonts w:ascii="Arial" w:hAnsi="Arial" w:cs="Arial"/>
        </w:rPr>
        <w:t>financial information for 2022</w:t>
      </w:r>
      <w:r w:rsidR="008C2B5C">
        <w:rPr>
          <w:rFonts w:ascii="Arial" w:hAnsi="Arial" w:cs="Arial"/>
        </w:rPr>
        <w:t xml:space="preserve">, the commercial customer class share of these non-disposal-related costs is </w:t>
      </w:r>
      <w:r w:rsidR="003C5237">
        <w:rPr>
          <w:rFonts w:ascii="Arial" w:hAnsi="Arial" w:cs="Arial"/>
        </w:rPr>
        <w:t xml:space="preserve">estimated at </w:t>
      </w:r>
      <w:r w:rsidR="008C2B5C">
        <w:rPr>
          <w:rFonts w:ascii="Arial" w:hAnsi="Arial" w:cs="Arial"/>
        </w:rPr>
        <w:t>approximately $19.7 million.</w:t>
      </w:r>
    </w:p>
    <w:p w14:paraId="540E02D6" w14:textId="77777777" w:rsidR="000D78AF" w:rsidRPr="00467D04" w:rsidRDefault="000D78AF" w:rsidP="00FF3B74">
      <w:pPr>
        <w:keepNext/>
        <w:jc w:val="both"/>
        <w:rPr>
          <w:rFonts w:ascii="Arial" w:hAnsi="Arial" w:cs="Arial"/>
        </w:rPr>
      </w:pPr>
    </w:p>
    <w:p w14:paraId="5AFFD6E4" w14:textId="773D4EBB" w:rsidR="006031D8" w:rsidRDefault="008B2286" w:rsidP="00FF3B74">
      <w:pPr>
        <w:widowControl w:val="0"/>
        <w:jc w:val="both"/>
        <w:rPr>
          <w:rFonts w:ascii="Arial" w:hAnsi="Arial" w:cs="Arial"/>
        </w:rPr>
      </w:pPr>
      <w:r>
        <w:rPr>
          <w:rFonts w:ascii="Arial" w:hAnsi="Arial" w:cs="Arial"/>
        </w:rPr>
        <w:t xml:space="preserve">Executive staff expect to update the </w:t>
      </w:r>
      <w:r w:rsidR="007F0FCB">
        <w:rPr>
          <w:rFonts w:ascii="Arial" w:hAnsi="Arial" w:cs="Arial"/>
        </w:rPr>
        <w:t xml:space="preserve">basis for the </w:t>
      </w:r>
      <w:r>
        <w:rPr>
          <w:rFonts w:ascii="Arial" w:hAnsi="Arial" w:cs="Arial"/>
        </w:rPr>
        <w:t xml:space="preserve">FAC every three to five years or whenever the Division makes significant changes in the cost structure </w:t>
      </w:r>
      <w:r w:rsidR="00073828">
        <w:rPr>
          <w:rFonts w:ascii="Arial" w:hAnsi="Arial" w:cs="Arial"/>
        </w:rPr>
        <w:t xml:space="preserve">of Division </w:t>
      </w:r>
      <w:r w:rsidR="001E3F82">
        <w:rPr>
          <w:rFonts w:ascii="Arial" w:hAnsi="Arial" w:cs="Arial"/>
        </w:rPr>
        <w:t>services. They further</w:t>
      </w:r>
      <w:r w:rsidR="00CF5928">
        <w:rPr>
          <w:rFonts w:ascii="Arial" w:hAnsi="Arial" w:cs="Arial"/>
        </w:rPr>
        <w:t xml:space="preserve"> anticipate that the basis for the fixed-annual cost may change over time</w:t>
      </w:r>
      <w:r w:rsidR="001E3F82">
        <w:rPr>
          <w:rFonts w:ascii="Arial" w:hAnsi="Arial" w:cs="Arial"/>
        </w:rPr>
        <w:t xml:space="preserve"> and not always be tied only to the non-disposal portion of the customer class costs.</w:t>
      </w:r>
      <w:r w:rsidR="00874AA4">
        <w:rPr>
          <w:rFonts w:ascii="Arial" w:hAnsi="Arial" w:cs="Arial"/>
        </w:rPr>
        <w:t xml:space="preserve"> According to Executive staff,</w:t>
      </w:r>
      <w:r w:rsidR="00F17DB1">
        <w:rPr>
          <w:rFonts w:ascii="Arial" w:hAnsi="Arial" w:cs="Arial"/>
        </w:rPr>
        <w:t xml:space="preserve"> however,</w:t>
      </w:r>
      <w:r w:rsidR="00874AA4">
        <w:rPr>
          <w:rFonts w:ascii="Arial" w:hAnsi="Arial" w:cs="Arial"/>
        </w:rPr>
        <w:t xml:space="preserve"> </w:t>
      </w:r>
      <w:r w:rsidR="003C7D16">
        <w:rPr>
          <w:rFonts w:ascii="Arial" w:hAnsi="Arial" w:cs="Arial"/>
        </w:rPr>
        <w:t>the amount of the FAC is expected to change year over year with updated financials.</w:t>
      </w:r>
      <w:r w:rsidR="00F17DB1">
        <w:rPr>
          <w:rFonts w:ascii="Arial" w:hAnsi="Arial" w:cs="Arial"/>
        </w:rPr>
        <w:t xml:space="preserve"> </w:t>
      </w:r>
    </w:p>
    <w:p w14:paraId="3CAE6881" w14:textId="09EBF97A" w:rsidR="00B660E0" w:rsidRDefault="00B660E0" w:rsidP="00FF3B74">
      <w:pPr>
        <w:widowControl w:val="0"/>
        <w:jc w:val="both"/>
        <w:rPr>
          <w:rFonts w:ascii="Arial" w:hAnsi="Arial" w:cs="Arial"/>
        </w:rPr>
      </w:pPr>
    </w:p>
    <w:p w14:paraId="59B57228" w14:textId="244B2349" w:rsidR="00B660E0" w:rsidRDefault="00B660E0" w:rsidP="00FF3B74">
      <w:pPr>
        <w:widowControl w:val="0"/>
        <w:jc w:val="both"/>
        <w:rPr>
          <w:rFonts w:ascii="Arial" w:hAnsi="Arial" w:cs="Arial"/>
        </w:rPr>
      </w:pPr>
      <w:r w:rsidRPr="00F84281">
        <w:rPr>
          <w:rFonts w:ascii="Arial" w:hAnsi="Arial" w:cs="Arial"/>
          <w:i/>
          <w:iCs/>
        </w:rPr>
        <w:t xml:space="preserve">Implementation of </w:t>
      </w:r>
      <w:r w:rsidR="00F84281">
        <w:rPr>
          <w:rFonts w:ascii="Arial" w:hAnsi="Arial" w:cs="Arial"/>
          <w:i/>
          <w:iCs/>
        </w:rPr>
        <w:t xml:space="preserve">the </w:t>
      </w:r>
      <w:r w:rsidRPr="00F84281">
        <w:rPr>
          <w:rFonts w:ascii="Arial" w:hAnsi="Arial" w:cs="Arial"/>
          <w:i/>
          <w:iCs/>
        </w:rPr>
        <w:t>FAC.</w:t>
      </w:r>
      <w:r>
        <w:rPr>
          <w:rFonts w:ascii="Arial" w:hAnsi="Arial" w:cs="Arial"/>
          <w:i/>
          <w:iCs/>
        </w:rPr>
        <w:t xml:space="preserve"> </w:t>
      </w:r>
      <w:r w:rsidR="009E518F">
        <w:rPr>
          <w:rFonts w:ascii="Arial" w:hAnsi="Arial" w:cs="Arial"/>
        </w:rPr>
        <w:t>Under the proposed ordinance, e</w:t>
      </w:r>
      <w:r>
        <w:rPr>
          <w:rFonts w:ascii="Arial" w:hAnsi="Arial" w:cs="Arial"/>
        </w:rPr>
        <w:t xml:space="preserve">ach billing entity </w:t>
      </w:r>
      <w:r w:rsidR="00CC03AB">
        <w:rPr>
          <w:rFonts w:ascii="Arial" w:hAnsi="Arial" w:cs="Arial"/>
        </w:rPr>
        <w:t xml:space="preserve">-- either the city or hauler -- </w:t>
      </w:r>
      <w:r>
        <w:rPr>
          <w:rFonts w:ascii="Arial" w:hAnsi="Arial" w:cs="Arial"/>
        </w:rPr>
        <w:t xml:space="preserve">would pay a share of the FAC, for each service area </w:t>
      </w:r>
      <w:r w:rsidR="009E518F">
        <w:rPr>
          <w:rFonts w:ascii="Arial" w:hAnsi="Arial" w:cs="Arial"/>
        </w:rPr>
        <w:t>it</w:t>
      </w:r>
      <w:r>
        <w:rPr>
          <w:rFonts w:ascii="Arial" w:hAnsi="Arial" w:cs="Arial"/>
        </w:rPr>
        <w:t xml:space="preserve"> serve</w:t>
      </w:r>
      <w:r w:rsidR="009E518F">
        <w:rPr>
          <w:rFonts w:ascii="Arial" w:hAnsi="Arial" w:cs="Arial"/>
        </w:rPr>
        <w:t>s</w:t>
      </w:r>
      <w:r>
        <w:rPr>
          <w:rFonts w:ascii="Arial" w:hAnsi="Arial" w:cs="Arial"/>
        </w:rPr>
        <w:t xml:space="preserve">, that is based on </w:t>
      </w:r>
      <w:r w:rsidR="00B55A37">
        <w:rPr>
          <w:rFonts w:ascii="Arial" w:hAnsi="Arial" w:cs="Arial"/>
        </w:rPr>
        <w:t>the percentage of tons that service area contributed to the total commercial</w:t>
      </w:r>
      <w:r w:rsidR="0028058E">
        <w:rPr>
          <w:rFonts w:ascii="Arial" w:hAnsi="Arial" w:cs="Arial"/>
        </w:rPr>
        <w:t>ly-hauled</w:t>
      </w:r>
      <w:r w:rsidR="00B55A37">
        <w:rPr>
          <w:rFonts w:ascii="Arial" w:hAnsi="Arial" w:cs="Arial"/>
        </w:rPr>
        <w:t xml:space="preserve"> tons the County received in the most recent calendar year for which data is available.</w:t>
      </w:r>
      <w:r w:rsidR="00B55A37">
        <w:rPr>
          <w:rStyle w:val="FootnoteReference"/>
          <w:rFonts w:ascii="Arial" w:hAnsi="Arial" w:cs="Arial"/>
        </w:rPr>
        <w:footnoteReference w:id="13"/>
      </w:r>
      <w:r w:rsidR="00B55A37">
        <w:rPr>
          <w:rFonts w:ascii="Arial" w:hAnsi="Arial" w:cs="Arial"/>
        </w:rPr>
        <w:t xml:space="preserve"> </w:t>
      </w:r>
      <w:r w:rsidRPr="001E3F82">
        <w:rPr>
          <w:rFonts w:ascii="Arial" w:hAnsi="Arial" w:cs="Arial"/>
          <w:i/>
          <w:iCs/>
        </w:rPr>
        <w:t xml:space="preserve">Service </w:t>
      </w:r>
      <w:r w:rsidR="00CC03AB">
        <w:rPr>
          <w:rFonts w:ascii="Arial" w:hAnsi="Arial" w:cs="Arial"/>
          <w:i/>
          <w:iCs/>
        </w:rPr>
        <w:t>a</w:t>
      </w:r>
      <w:r w:rsidRPr="001E3F82">
        <w:rPr>
          <w:rFonts w:ascii="Arial" w:hAnsi="Arial" w:cs="Arial"/>
          <w:i/>
          <w:iCs/>
        </w:rPr>
        <w:t>rea</w:t>
      </w:r>
      <w:r>
        <w:rPr>
          <w:rFonts w:ascii="Arial" w:hAnsi="Arial" w:cs="Arial"/>
        </w:rPr>
        <w:t xml:space="preserve"> in the proposed ordinance is defined as "a city or unincorporated area serviced by a commercial hauler"</w:t>
      </w:r>
      <w:r w:rsidR="00031A54">
        <w:rPr>
          <w:rFonts w:ascii="Arial" w:hAnsi="Arial" w:cs="Arial"/>
        </w:rPr>
        <w:t xml:space="preserve"> and</w:t>
      </w:r>
      <w:r w:rsidR="00175B2F">
        <w:rPr>
          <w:rFonts w:ascii="Arial" w:hAnsi="Arial" w:cs="Arial"/>
        </w:rPr>
        <w:t xml:space="preserve"> the ordinance notes that a commercial hauler may provide service to more than one service area and that each service area remains distinct even if serviced by the same commercial hauler.</w:t>
      </w:r>
      <w:r w:rsidR="00FC6239">
        <w:rPr>
          <w:rFonts w:ascii="Arial" w:hAnsi="Arial" w:cs="Arial"/>
        </w:rPr>
        <w:t xml:space="preserve"> </w:t>
      </w:r>
    </w:p>
    <w:p w14:paraId="02EB2E0F" w14:textId="42370E1D" w:rsidR="00E25990" w:rsidRDefault="00E25990" w:rsidP="00FF3B74">
      <w:pPr>
        <w:widowControl w:val="0"/>
        <w:jc w:val="both"/>
        <w:rPr>
          <w:rFonts w:ascii="Arial" w:hAnsi="Arial" w:cs="Arial"/>
        </w:rPr>
      </w:pPr>
    </w:p>
    <w:p w14:paraId="2C8D90D7" w14:textId="0ED246FF" w:rsidR="003E570F" w:rsidRDefault="00441748" w:rsidP="003E570F">
      <w:pPr>
        <w:keepNext/>
        <w:jc w:val="both"/>
        <w:rPr>
          <w:rFonts w:ascii="Arial" w:hAnsi="Arial" w:cs="Arial"/>
        </w:rPr>
      </w:pPr>
      <w:r>
        <w:rPr>
          <w:rFonts w:ascii="Arial" w:hAnsi="Arial" w:cs="Arial"/>
        </w:rPr>
        <w:t>Executive staff</w:t>
      </w:r>
      <w:r w:rsidR="00636173">
        <w:rPr>
          <w:rFonts w:ascii="Arial" w:hAnsi="Arial" w:cs="Arial"/>
        </w:rPr>
        <w:t xml:space="preserve"> </w:t>
      </w:r>
      <w:r w:rsidR="005A309F">
        <w:rPr>
          <w:rFonts w:ascii="Arial" w:hAnsi="Arial" w:cs="Arial"/>
        </w:rPr>
        <w:t xml:space="preserve">expect to provide </w:t>
      </w:r>
      <w:r>
        <w:rPr>
          <w:rFonts w:ascii="Arial" w:hAnsi="Arial" w:cs="Arial"/>
        </w:rPr>
        <w:t xml:space="preserve">the billing entity </w:t>
      </w:r>
      <w:r w:rsidR="005A309F">
        <w:rPr>
          <w:rFonts w:ascii="Arial" w:hAnsi="Arial" w:cs="Arial"/>
        </w:rPr>
        <w:t>with</w:t>
      </w:r>
      <w:r>
        <w:rPr>
          <w:rFonts w:ascii="Arial" w:hAnsi="Arial" w:cs="Arial"/>
        </w:rPr>
        <w:t xml:space="preserve"> a monthly disposal invoice that </w:t>
      </w:r>
      <w:r w:rsidR="005A309F">
        <w:rPr>
          <w:rFonts w:ascii="Arial" w:hAnsi="Arial" w:cs="Arial"/>
        </w:rPr>
        <w:t>would i</w:t>
      </w:r>
      <w:r>
        <w:rPr>
          <w:rFonts w:ascii="Arial" w:hAnsi="Arial" w:cs="Arial"/>
        </w:rPr>
        <w:t>nclud</w:t>
      </w:r>
      <w:r w:rsidR="005A309F">
        <w:rPr>
          <w:rFonts w:ascii="Arial" w:hAnsi="Arial" w:cs="Arial"/>
        </w:rPr>
        <w:t>e</w:t>
      </w:r>
      <w:r>
        <w:rPr>
          <w:rFonts w:ascii="Arial" w:hAnsi="Arial" w:cs="Arial"/>
        </w:rPr>
        <w:t xml:space="preserve"> both the share of the FAC and the fee for the tons of waste a hauler brought from an individual city or unincorporated area to a County solid waste facility. </w:t>
      </w:r>
      <w:r w:rsidR="00CC03AB">
        <w:rPr>
          <w:rFonts w:ascii="Arial" w:hAnsi="Arial" w:cs="Arial"/>
        </w:rPr>
        <w:t xml:space="preserve">According to </w:t>
      </w:r>
      <w:r w:rsidR="003E570F">
        <w:rPr>
          <w:rFonts w:ascii="Arial" w:hAnsi="Arial" w:cs="Arial"/>
        </w:rPr>
        <w:t>Executive staff</w:t>
      </w:r>
      <w:r w:rsidR="00CC03AB">
        <w:rPr>
          <w:rFonts w:ascii="Arial" w:hAnsi="Arial" w:cs="Arial"/>
        </w:rPr>
        <w:t xml:space="preserve">, </w:t>
      </w:r>
      <w:r w:rsidR="003E570F">
        <w:rPr>
          <w:rFonts w:ascii="Arial" w:hAnsi="Arial" w:cs="Arial"/>
        </w:rPr>
        <w:t>the process of SWD invoicing the billing entities and not curbside customers would remain the same under the proposed ordinance.</w:t>
      </w:r>
    </w:p>
    <w:p w14:paraId="6B3D7C3F" w14:textId="4DFA4F36" w:rsidR="00853E3E" w:rsidRDefault="00853E3E" w:rsidP="00FF3B74">
      <w:pPr>
        <w:widowControl w:val="0"/>
        <w:jc w:val="both"/>
        <w:rPr>
          <w:rFonts w:ascii="Arial" w:hAnsi="Arial" w:cs="Arial"/>
        </w:rPr>
      </w:pPr>
    </w:p>
    <w:p w14:paraId="741CDCBE" w14:textId="14A4DF25" w:rsidR="009044F4" w:rsidRDefault="009044F4" w:rsidP="00FF3B74">
      <w:pPr>
        <w:keepNext/>
        <w:jc w:val="both"/>
        <w:rPr>
          <w:rFonts w:ascii="Arial" w:hAnsi="Arial" w:cs="Arial"/>
        </w:rPr>
      </w:pPr>
      <w:r>
        <w:rPr>
          <w:rFonts w:ascii="Arial" w:hAnsi="Arial" w:cs="Arial"/>
        </w:rPr>
        <w:t xml:space="preserve">Table </w:t>
      </w:r>
      <w:r w:rsidR="00CC03AB">
        <w:rPr>
          <w:rFonts w:ascii="Arial" w:hAnsi="Arial" w:cs="Arial"/>
        </w:rPr>
        <w:t>3</w:t>
      </w:r>
      <w:r>
        <w:rPr>
          <w:rFonts w:ascii="Arial" w:hAnsi="Arial" w:cs="Arial"/>
        </w:rPr>
        <w:t xml:space="preserve"> graphically depicts the status quo fee structure for </w:t>
      </w:r>
      <w:r w:rsidR="00CC03AB">
        <w:rPr>
          <w:rFonts w:ascii="Arial" w:hAnsi="Arial" w:cs="Arial"/>
        </w:rPr>
        <w:t>billing entities c</w:t>
      </w:r>
      <w:r>
        <w:rPr>
          <w:rFonts w:ascii="Arial" w:hAnsi="Arial" w:cs="Arial"/>
        </w:rPr>
        <w:t xml:space="preserve">ompared to the structure proposed by the ordinance, as well as provides an illustrative example. </w:t>
      </w:r>
      <w:r w:rsidR="00CC03AB">
        <w:rPr>
          <w:rFonts w:ascii="Arial" w:hAnsi="Arial" w:cs="Arial"/>
        </w:rPr>
        <w:t>Additional information about the</w:t>
      </w:r>
      <w:r w:rsidR="00B31ED4">
        <w:rPr>
          <w:rFonts w:ascii="Arial" w:hAnsi="Arial" w:cs="Arial"/>
        </w:rPr>
        <w:t xml:space="preserve"> proposed reduction to the weight-based fee is discussed later in this staff report.</w:t>
      </w:r>
    </w:p>
    <w:p w14:paraId="124D6A40" w14:textId="4AC6C494" w:rsidR="009044F4" w:rsidRDefault="009044F4" w:rsidP="00FF3B74">
      <w:pPr>
        <w:widowControl w:val="0"/>
        <w:jc w:val="both"/>
        <w:rPr>
          <w:rFonts w:ascii="Arial" w:hAnsi="Arial" w:cs="Arial"/>
        </w:rPr>
      </w:pPr>
    </w:p>
    <w:p w14:paraId="3AD88E6A" w14:textId="20DC4B61" w:rsidR="00CC03AB" w:rsidRDefault="00CC03AB" w:rsidP="00FF3B74">
      <w:pPr>
        <w:widowControl w:val="0"/>
        <w:jc w:val="both"/>
        <w:rPr>
          <w:rFonts w:ascii="Arial" w:hAnsi="Arial" w:cs="Arial"/>
        </w:rPr>
      </w:pPr>
    </w:p>
    <w:p w14:paraId="3E449E08" w14:textId="77777777" w:rsidR="00CC03AB" w:rsidRDefault="00CC03AB" w:rsidP="00FF3B74">
      <w:pPr>
        <w:widowControl w:val="0"/>
        <w:jc w:val="both"/>
        <w:rPr>
          <w:rFonts w:ascii="Arial" w:hAnsi="Arial" w:cs="Arial"/>
        </w:rPr>
      </w:pPr>
    </w:p>
    <w:p w14:paraId="3EF1D69E" w14:textId="23E9A6F6" w:rsidR="009044F4" w:rsidRDefault="009044F4" w:rsidP="0048591D">
      <w:pPr>
        <w:keepNext/>
        <w:jc w:val="center"/>
        <w:rPr>
          <w:rFonts w:ascii="Arial" w:hAnsi="Arial" w:cs="Arial"/>
          <w:b/>
          <w:bCs/>
        </w:rPr>
      </w:pPr>
      <w:r>
        <w:rPr>
          <w:rFonts w:ascii="Arial" w:hAnsi="Arial" w:cs="Arial"/>
          <w:b/>
          <w:bCs/>
        </w:rPr>
        <w:t xml:space="preserve">Table </w:t>
      </w:r>
      <w:r w:rsidR="00CC03AB">
        <w:rPr>
          <w:rFonts w:ascii="Arial" w:hAnsi="Arial" w:cs="Arial"/>
          <w:b/>
          <w:bCs/>
        </w:rPr>
        <w:t>3</w:t>
      </w:r>
      <w:r>
        <w:rPr>
          <w:rFonts w:ascii="Arial" w:hAnsi="Arial" w:cs="Arial"/>
          <w:b/>
          <w:bCs/>
        </w:rPr>
        <w:t>.</w:t>
      </w:r>
    </w:p>
    <w:p w14:paraId="5EC33C2B" w14:textId="787F7B5E" w:rsidR="009044F4" w:rsidRPr="00BA52AB" w:rsidRDefault="00CC03AB" w:rsidP="0048591D">
      <w:pPr>
        <w:keepNext/>
        <w:jc w:val="center"/>
        <w:rPr>
          <w:rFonts w:ascii="Arial" w:hAnsi="Arial" w:cs="Arial"/>
          <w:b/>
          <w:bCs/>
        </w:rPr>
      </w:pPr>
      <w:r>
        <w:rPr>
          <w:rFonts w:ascii="Arial" w:hAnsi="Arial" w:cs="Arial"/>
          <w:b/>
          <w:bCs/>
        </w:rPr>
        <w:t xml:space="preserve">Fee Structure for Commercially-Hauled Tons -- Current vs. Proposed </w:t>
      </w:r>
    </w:p>
    <w:p w14:paraId="02E8367C" w14:textId="77777777" w:rsidR="009044F4" w:rsidRDefault="009044F4" w:rsidP="00FF3B74">
      <w:pPr>
        <w:keepNext/>
        <w:jc w:val="both"/>
        <w:rPr>
          <w:rFonts w:ascii="Arial" w:hAnsi="Arial" w:cs="Arial"/>
        </w:rPr>
      </w:pPr>
    </w:p>
    <w:tbl>
      <w:tblPr>
        <w:tblStyle w:val="TableGrid"/>
        <w:tblW w:w="0" w:type="auto"/>
        <w:jc w:val="center"/>
        <w:tblLook w:val="04A0" w:firstRow="1" w:lastRow="0" w:firstColumn="1" w:lastColumn="0" w:noHBand="0" w:noVBand="1"/>
      </w:tblPr>
      <w:tblGrid>
        <w:gridCol w:w="4550"/>
        <w:gridCol w:w="4551"/>
      </w:tblGrid>
      <w:tr w:rsidR="009044F4" w:rsidRPr="00E60BF0" w14:paraId="6AB5ABDA" w14:textId="77777777" w:rsidTr="00C747EC">
        <w:trPr>
          <w:jc w:val="center"/>
        </w:trPr>
        <w:tc>
          <w:tcPr>
            <w:tcW w:w="4550" w:type="dxa"/>
            <w:shd w:val="clear" w:color="auto" w:fill="000000" w:themeFill="text1"/>
          </w:tcPr>
          <w:p w14:paraId="217EE600" w14:textId="7F683412" w:rsidR="009044F4" w:rsidRPr="00593574" w:rsidRDefault="00602627" w:rsidP="00CC03AB">
            <w:pPr>
              <w:tabs>
                <w:tab w:val="left" w:pos="1540"/>
              </w:tabs>
              <w:rPr>
                <w:rFonts w:ascii="Arial" w:hAnsi="Arial" w:cs="Arial"/>
                <w:b/>
                <w:bCs/>
                <w:i/>
                <w:iCs/>
                <w:color w:val="FFFFFF" w:themeColor="background1"/>
                <w:sz w:val="22"/>
                <w:szCs w:val="22"/>
              </w:rPr>
            </w:pPr>
            <w:r>
              <w:rPr>
                <w:rFonts w:ascii="Arial" w:hAnsi="Arial" w:cs="Arial"/>
                <w:b/>
                <w:bCs/>
                <w:color w:val="FFFFFF" w:themeColor="background1"/>
                <w:sz w:val="22"/>
                <w:szCs w:val="22"/>
              </w:rPr>
              <w:t>For Commercially-Hauled</w:t>
            </w:r>
            <w:r w:rsidR="00B31ED4">
              <w:rPr>
                <w:rFonts w:ascii="Arial" w:hAnsi="Arial" w:cs="Arial"/>
                <w:b/>
                <w:bCs/>
                <w:color w:val="FFFFFF" w:themeColor="background1"/>
                <w:sz w:val="22"/>
                <w:szCs w:val="22"/>
              </w:rPr>
              <w:t xml:space="preserve"> Tons, </w:t>
            </w:r>
            <w:r>
              <w:rPr>
                <w:rFonts w:ascii="Arial" w:hAnsi="Arial" w:cs="Arial"/>
                <w:b/>
                <w:bCs/>
                <w:color w:val="FFFFFF" w:themeColor="background1"/>
                <w:sz w:val="22"/>
                <w:szCs w:val="22"/>
              </w:rPr>
              <w:t>Billing Entities</w:t>
            </w:r>
            <w:r w:rsidR="009044F4">
              <w:rPr>
                <w:rFonts w:ascii="Arial" w:hAnsi="Arial" w:cs="Arial"/>
                <w:b/>
                <w:bCs/>
                <w:color w:val="FFFFFF" w:themeColor="background1"/>
                <w:sz w:val="22"/>
                <w:szCs w:val="22"/>
              </w:rPr>
              <w:t xml:space="preserve"> Currently Pay</w:t>
            </w:r>
          </w:p>
        </w:tc>
        <w:tc>
          <w:tcPr>
            <w:tcW w:w="4551" w:type="dxa"/>
            <w:shd w:val="clear" w:color="auto" w:fill="000000" w:themeFill="text1"/>
          </w:tcPr>
          <w:p w14:paraId="1C4A5543" w14:textId="48616E68" w:rsidR="009044F4" w:rsidRPr="00593574" w:rsidRDefault="009044F4" w:rsidP="00CC03AB">
            <w:pPr>
              <w:tabs>
                <w:tab w:val="left" w:pos="1540"/>
              </w:tabs>
              <w:rPr>
                <w:rFonts w:ascii="Arial" w:hAnsi="Arial" w:cs="Arial"/>
                <w:b/>
                <w:bCs/>
                <w:color w:val="FFFFFF" w:themeColor="background1"/>
                <w:sz w:val="22"/>
                <w:szCs w:val="22"/>
              </w:rPr>
            </w:pPr>
            <w:r>
              <w:rPr>
                <w:rFonts w:ascii="Arial" w:hAnsi="Arial" w:cs="Arial"/>
                <w:b/>
                <w:bCs/>
                <w:color w:val="FFFFFF" w:themeColor="background1"/>
                <w:sz w:val="22"/>
                <w:szCs w:val="22"/>
              </w:rPr>
              <w:t xml:space="preserve">Under PO 2021-0449, </w:t>
            </w:r>
            <w:r w:rsidR="00700BDE">
              <w:rPr>
                <w:rFonts w:ascii="Arial" w:hAnsi="Arial" w:cs="Arial"/>
                <w:b/>
                <w:bCs/>
                <w:color w:val="FFFFFF" w:themeColor="background1"/>
                <w:sz w:val="22"/>
                <w:szCs w:val="22"/>
              </w:rPr>
              <w:t xml:space="preserve">For Commercially-Hauled Tons, Billing Entities </w:t>
            </w:r>
            <w:r>
              <w:rPr>
                <w:rFonts w:ascii="Arial" w:hAnsi="Arial" w:cs="Arial"/>
                <w:b/>
                <w:bCs/>
                <w:color w:val="FFFFFF" w:themeColor="background1"/>
                <w:sz w:val="22"/>
                <w:szCs w:val="22"/>
              </w:rPr>
              <w:t>Would Pay</w:t>
            </w:r>
          </w:p>
        </w:tc>
      </w:tr>
      <w:tr w:rsidR="009044F4" w14:paraId="7738F372" w14:textId="77777777" w:rsidTr="00C747EC">
        <w:trPr>
          <w:trHeight w:val="2438"/>
          <w:jc w:val="center"/>
        </w:trPr>
        <w:tc>
          <w:tcPr>
            <w:tcW w:w="4550" w:type="dxa"/>
          </w:tcPr>
          <w:p w14:paraId="568EB318" w14:textId="77777777" w:rsidR="009044F4" w:rsidRDefault="009044F4" w:rsidP="00CC03AB">
            <w:pPr>
              <w:widowControl w:val="0"/>
              <w:tabs>
                <w:tab w:val="left" w:pos="1540"/>
              </w:tabs>
              <w:rPr>
                <w:rFonts w:ascii="Arial" w:hAnsi="Arial" w:cs="Arial"/>
                <w:sz w:val="22"/>
                <w:szCs w:val="22"/>
              </w:rPr>
            </w:pPr>
          </w:p>
          <w:p w14:paraId="3B7984F3" w14:textId="6CA6007E" w:rsidR="009044F4" w:rsidRDefault="009044F4" w:rsidP="00CC03AB">
            <w:pPr>
              <w:widowControl w:val="0"/>
              <w:tabs>
                <w:tab w:val="left" w:pos="154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0864" behindDoc="0" locked="0" layoutInCell="1" allowOverlap="1" wp14:anchorId="3B7ECAF4" wp14:editId="3480E0C7">
                      <wp:simplePos x="0" y="0"/>
                      <wp:positionH relativeFrom="column">
                        <wp:posOffset>-2658</wp:posOffset>
                      </wp:positionH>
                      <wp:positionV relativeFrom="paragraph">
                        <wp:posOffset>58173</wp:posOffset>
                      </wp:positionV>
                      <wp:extent cx="1045210" cy="437587"/>
                      <wp:effectExtent l="0" t="0" r="2540" b="635"/>
                      <wp:wrapNone/>
                      <wp:docPr id="8" name="Text Box 8"/>
                      <wp:cNvGraphicFramePr/>
                      <a:graphic xmlns:a="http://schemas.openxmlformats.org/drawingml/2006/main">
                        <a:graphicData uri="http://schemas.microsoft.com/office/word/2010/wordprocessingShape">
                          <wps:wsp>
                            <wps:cNvSpPr txBox="1"/>
                            <wps:spPr>
                              <a:xfrm>
                                <a:off x="0" y="0"/>
                                <a:ext cx="1045210" cy="437587"/>
                              </a:xfrm>
                              <a:prstGeom prst="rect">
                                <a:avLst/>
                              </a:prstGeom>
                              <a:solidFill>
                                <a:schemeClr val="lt1"/>
                              </a:solidFill>
                              <a:ln w="6350">
                                <a:noFill/>
                              </a:ln>
                            </wps:spPr>
                            <wps:txbx>
                              <w:txbxContent>
                                <w:p w14:paraId="0012A451" w14:textId="77777777" w:rsidR="009044F4" w:rsidRPr="00F36197" w:rsidRDefault="009044F4" w:rsidP="009044F4">
                                  <w:pPr>
                                    <w:rPr>
                                      <w:rFonts w:ascii="Arial" w:hAnsi="Arial" w:cs="Arial"/>
                                      <w:b/>
                                      <w:bCs/>
                                      <w:color w:val="FF0000"/>
                                      <w:sz w:val="20"/>
                                    </w:rPr>
                                  </w:pPr>
                                  <w:r w:rsidRPr="00F36197">
                                    <w:rPr>
                                      <w:rFonts w:ascii="Arial" w:hAnsi="Arial" w:cs="Arial"/>
                                      <w:b/>
                                      <w:bCs/>
                                      <w:color w:val="FF0000"/>
                                      <w:sz w:val="20"/>
                                    </w:rPr>
                                    <w:t xml:space="preserve">Variable Fee </w:t>
                                  </w:r>
                                  <w:r w:rsidRPr="00F36197">
                                    <w:rPr>
                                      <w:rFonts w:ascii="Arial" w:hAnsi="Arial" w:cs="Arial"/>
                                      <w:color w:val="FF0000"/>
                                      <w:sz w:val="20"/>
                                    </w:rPr>
                                    <w:t>(weight-based)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ECAF4" id="_x0000_t202" coordsize="21600,21600" o:spt="202" path="m,l,21600r21600,l21600,xe">
                      <v:stroke joinstyle="miter"/>
                      <v:path gradientshapeok="t" o:connecttype="rect"/>
                    </v:shapetype>
                    <v:shape id="Text Box 8" o:spid="_x0000_s1026" type="#_x0000_t202" style="position:absolute;margin-left:-.2pt;margin-top:4.6pt;width:82.3pt;height:34.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" fillcolor="white [3201]" stroked="f" strokeweight=".5pt">
                      <v:textbox>
                        <w:txbxContent>
                          <w:p w14:paraId="0012A451" w14:textId="77777777" w:rsidR="009044F4" w:rsidRPr="00F36197" w:rsidRDefault="009044F4" w:rsidP="009044F4">
                            <w:pPr>
                              <w:rPr>
                                <w:rFonts w:ascii="Arial" w:hAnsi="Arial" w:cs="Arial"/>
                                <w:b/>
                                <w:bCs/>
                                <w:color w:val="FF0000"/>
                                <w:sz w:val="20"/>
                              </w:rPr>
                            </w:pPr>
                            <w:r w:rsidRPr="00F36197">
                              <w:rPr>
                                <w:rFonts w:ascii="Arial" w:hAnsi="Arial" w:cs="Arial"/>
                                <w:b/>
                                <w:bCs/>
                                <w:color w:val="FF0000"/>
                                <w:sz w:val="20"/>
                              </w:rPr>
                              <w:t xml:space="preserve">Variable Fee </w:t>
                            </w:r>
                            <w:r w:rsidRPr="00F36197">
                              <w:rPr>
                                <w:rFonts w:ascii="Arial" w:hAnsi="Arial" w:cs="Arial"/>
                                <w:color w:val="FF0000"/>
                                <w:sz w:val="20"/>
                              </w:rPr>
                              <w:t>(weight-based)</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4960" behindDoc="0" locked="0" layoutInCell="1" allowOverlap="1" wp14:anchorId="58C84480" wp14:editId="388ED8D9">
                      <wp:simplePos x="0" y="0"/>
                      <wp:positionH relativeFrom="column">
                        <wp:posOffset>1043545</wp:posOffset>
                      </wp:positionH>
                      <wp:positionV relativeFrom="paragraph">
                        <wp:posOffset>57785</wp:posOffset>
                      </wp:positionV>
                      <wp:extent cx="1532779" cy="438036"/>
                      <wp:effectExtent l="0" t="0" r="10795" b="19685"/>
                      <wp:wrapNone/>
                      <wp:docPr id="6" name="Rectangle 6"/>
                      <wp:cNvGraphicFramePr/>
                      <a:graphic xmlns:a="http://schemas.openxmlformats.org/drawingml/2006/main">
                        <a:graphicData uri="http://schemas.microsoft.com/office/word/2010/wordprocessingShape">
                          <wps:wsp>
                            <wps:cNvSpPr/>
                            <wps:spPr>
                              <a:xfrm>
                                <a:off x="0" y="0"/>
                                <a:ext cx="1532779" cy="438036"/>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66366FC5" w14:textId="692E1672" w:rsidR="009044F4" w:rsidRDefault="009044F4" w:rsidP="009044F4">
                                  <w:pPr>
                                    <w:jc w:val="center"/>
                                    <w:rPr>
                                      <w:rFonts w:ascii="Arial" w:hAnsi="Arial" w:cs="Arial"/>
                                      <w:sz w:val="22"/>
                                      <w:szCs w:val="22"/>
                                    </w:rPr>
                                  </w:pPr>
                                  <w:r>
                                    <w:rPr>
                                      <w:rFonts w:ascii="Arial" w:hAnsi="Arial" w:cs="Arial"/>
                                      <w:sz w:val="22"/>
                                      <w:szCs w:val="22"/>
                                    </w:rPr>
                                    <w:t>Per-ton-rate fee</w:t>
                                  </w:r>
                                  <w:r w:rsidRPr="00AD564E">
                                    <w:rPr>
                                      <w:rFonts w:ascii="Arial" w:hAnsi="Arial" w:cs="Arial"/>
                                      <w:sz w:val="22"/>
                                      <w:szCs w:val="22"/>
                                    </w:rPr>
                                    <w:t xml:space="preserve">: </w:t>
                                  </w:r>
                                  <w:r w:rsidRPr="00CC03AB">
                                    <w:rPr>
                                      <w:rFonts w:ascii="Arial" w:hAnsi="Arial" w:cs="Arial"/>
                                      <w:b/>
                                      <w:bCs/>
                                      <w:sz w:val="22"/>
                                      <w:szCs w:val="22"/>
                                    </w:rPr>
                                    <w:t>$154.02 per ton</w:t>
                                  </w:r>
                                </w:p>
                                <w:p w14:paraId="281FF665" w14:textId="2756A2A9" w:rsidR="00B03733" w:rsidRDefault="00B03733" w:rsidP="009044F4">
                                  <w:pPr>
                                    <w:jc w:val="center"/>
                                    <w:rPr>
                                      <w:rFonts w:ascii="Arial" w:hAnsi="Arial" w:cs="Arial"/>
                                      <w:sz w:val="22"/>
                                      <w:szCs w:val="22"/>
                                    </w:rPr>
                                  </w:pPr>
                                  <w:r>
                                    <w:rPr>
                                      <w:rFonts w:ascii="Arial" w:hAnsi="Arial" w:cs="Arial"/>
                                      <w:sz w:val="22"/>
                                      <w:szCs w:val="22"/>
                                    </w:rPr>
                                    <w:t>X</w:t>
                                  </w:r>
                                </w:p>
                                <w:p w14:paraId="3B18DEAF" w14:textId="67F2F791" w:rsidR="00B03733" w:rsidRDefault="00B03733" w:rsidP="009044F4">
                                  <w:pPr>
                                    <w:jc w:val="center"/>
                                    <w:rPr>
                                      <w:rFonts w:ascii="Arial" w:hAnsi="Arial" w:cs="Arial"/>
                                      <w:sz w:val="22"/>
                                      <w:szCs w:val="22"/>
                                    </w:rPr>
                                  </w:pPr>
                                  <w:r>
                                    <w:rPr>
                                      <w:rFonts w:ascii="Arial" w:hAnsi="Arial" w:cs="Arial"/>
                                      <w:sz w:val="22"/>
                                      <w:szCs w:val="22"/>
                                    </w:rPr>
                                    <w:t>tons</w:t>
                                  </w:r>
                                </w:p>
                                <w:p w14:paraId="516AC92F" w14:textId="77777777" w:rsidR="009044F4" w:rsidRPr="00AD564E" w:rsidRDefault="009044F4" w:rsidP="009044F4">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84480" id="Rectangle 6" o:spid="_x0000_s1027" style="position:absolute;margin-left:82.15pt;margin-top:4.55pt;width:120.7pt;height:3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" fillcolor="#f2f2f2 [3052]" strokecolor="black [3200]" strokeweight=".25pt">
                      <v:textbox>
                        <w:txbxContent>
                          <w:p w14:paraId="66366FC5" w14:textId="692E1672" w:rsidR="009044F4" w:rsidRDefault="009044F4" w:rsidP="009044F4">
                            <w:pPr>
                              <w:jc w:val="center"/>
                              <w:rPr>
                                <w:rFonts w:ascii="Arial" w:hAnsi="Arial" w:cs="Arial"/>
                                <w:sz w:val="22"/>
                                <w:szCs w:val="22"/>
                              </w:rPr>
                            </w:pPr>
                            <w:r>
                              <w:rPr>
                                <w:rFonts w:ascii="Arial" w:hAnsi="Arial" w:cs="Arial"/>
                                <w:sz w:val="22"/>
                                <w:szCs w:val="22"/>
                              </w:rPr>
                              <w:t>Per-ton-rate fee</w:t>
                            </w:r>
                            <w:r w:rsidRPr="00AD564E">
                              <w:rPr>
                                <w:rFonts w:ascii="Arial" w:hAnsi="Arial" w:cs="Arial"/>
                                <w:sz w:val="22"/>
                                <w:szCs w:val="22"/>
                              </w:rPr>
                              <w:t xml:space="preserve">: </w:t>
                            </w:r>
                            <w:r w:rsidRPr="00CC03AB">
                              <w:rPr>
                                <w:rFonts w:ascii="Arial" w:hAnsi="Arial" w:cs="Arial"/>
                                <w:b/>
                                <w:bCs/>
                                <w:sz w:val="22"/>
                                <w:szCs w:val="22"/>
                              </w:rPr>
                              <w:t>$154.02 per ton</w:t>
                            </w:r>
                          </w:p>
                          <w:p w14:paraId="281FF665" w14:textId="2756A2A9" w:rsidR="00B03733" w:rsidRDefault="00B03733" w:rsidP="009044F4">
                            <w:pPr>
                              <w:jc w:val="center"/>
                              <w:rPr>
                                <w:rFonts w:ascii="Arial" w:hAnsi="Arial" w:cs="Arial"/>
                                <w:sz w:val="22"/>
                                <w:szCs w:val="22"/>
                              </w:rPr>
                            </w:pPr>
                            <w:r>
                              <w:rPr>
                                <w:rFonts w:ascii="Arial" w:hAnsi="Arial" w:cs="Arial"/>
                                <w:sz w:val="22"/>
                                <w:szCs w:val="22"/>
                              </w:rPr>
                              <w:t>X</w:t>
                            </w:r>
                          </w:p>
                          <w:p w14:paraId="3B18DEAF" w14:textId="67F2F791" w:rsidR="00B03733" w:rsidRDefault="00B03733" w:rsidP="009044F4">
                            <w:pPr>
                              <w:jc w:val="center"/>
                              <w:rPr>
                                <w:rFonts w:ascii="Arial" w:hAnsi="Arial" w:cs="Arial"/>
                                <w:sz w:val="22"/>
                                <w:szCs w:val="22"/>
                              </w:rPr>
                            </w:pPr>
                            <w:r>
                              <w:rPr>
                                <w:rFonts w:ascii="Arial" w:hAnsi="Arial" w:cs="Arial"/>
                                <w:sz w:val="22"/>
                                <w:szCs w:val="22"/>
                              </w:rPr>
                              <w:t>tons</w:t>
                            </w:r>
                          </w:p>
                          <w:p w14:paraId="516AC92F" w14:textId="77777777" w:rsidR="009044F4" w:rsidRPr="00AD564E" w:rsidRDefault="009044F4" w:rsidP="009044F4">
                            <w:pPr>
                              <w:jc w:val="center"/>
                              <w:rPr>
                                <w:rFonts w:ascii="Arial" w:hAnsi="Arial" w:cs="Arial"/>
                                <w:sz w:val="22"/>
                                <w:szCs w:val="22"/>
                              </w:rPr>
                            </w:pPr>
                          </w:p>
                        </w:txbxContent>
                      </v:textbox>
                    </v:rect>
                  </w:pict>
                </mc:Fallback>
              </mc:AlternateContent>
            </w:r>
          </w:p>
          <w:p w14:paraId="3FEE20F7" w14:textId="77777777" w:rsidR="009044F4" w:rsidRDefault="009044F4" w:rsidP="00CC03AB">
            <w:pPr>
              <w:widowControl w:val="0"/>
              <w:tabs>
                <w:tab w:val="left" w:pos="1540"/>
              </w:tabs>
              <w:rPr>
                <w:rFonts w:ascii="Arial" w:hAnsi="Arial" w:cs="Arial"/>
                <w:sz w:val="22"/>
                <w:szCs w:val="22"/>
              </w:rPr>
            </w:pPr>
          </w:p>
          <w:p w14:paraId="2D737089" w14:textId="77777777" w:rsidR="009044F4" w:rsidRPr="00593574" w:rsidRDefault="009044F4" w:rsidP="00CC03AB">
            <w:pPr>
              <w:widowControl w:val="0"/>
              <w:tabs>
                <w:tab w:val="left" w:pos="1540"/>
              </w:tabs>
              <w:rPr>
                <w:rFonts w:ascii="Arial" w:hAnsi="Arial" w:cs="Arial"/>
                <w:sz w:val="22"/>
                <w:szCs w:val="22"/>
              </w:rPr>
            </w:pPr>
          </w:p>
        </w:tc>
        <w:tc>
          <w:tcPr>
            <w:tcW w:w="4551" w:type="dxa"/>
          </w:tcPr>
          <w:p w14:paraId="40B0F237" w14:textId="77777777" w:rsidR="009044F4" w:rsidRDefault="009044F4" w:rsidP="00CC03AB">
            <w:pPr>
              <w:widowControl w:val="0"/>
              <w:tabs>
                <w:tab w:val="left" w:pos="1540"/>
              </w:tabs>
              <w:rPr>
                <w:rFonts w:ascii="Arial" w:hAnsi="Arial" w:cs="Arial"/>
                <w:sz w:val="22"/>
                <w:szCs w:val="22"/>
              </w:rPr>
            </w:pPr>
          </w:p>
          <w:p w14:paraId="5F48F588" w14:textId="77777777" w:rsidR="009044F4" w:rsidRDefault="009044F4" w:rsidP="00CC03AB">
            <w:pPr>
              <w:widowControl w:val="0"/>
              <w:tabs>
                <w:tab w:val="left" w:pos="1540"/>
              </w:tabs>
              <w:rPr>
                <w:rFonts w:ascii="Arial" w:hAnsi="Arial" w:cs="Arial"/>
                <w:sz w:val="22"/>
                <w:szCs w:val="22"/>
              </w:rPr>
            </w:pPr>
            <w:r w:rsidRPr="00637992">
              <w:rPr>
                <w:rFonts w:ascii="Arial" w:hAnsi="Arial" w:cs="Arial"/>
                <w:noProof/>
                <w:sz w:val="22"/>
                <w:szCs w:val="22"/>
              </w:rPr>
              <mc:AlternateContent>
                <mc:Choice Requires="wps">
                  <w:drawing>
                    <wp:anchor distT="0" distB="0" distL="114300" distR="114300" simplePos="0" relativeHeight="251629056" behindDoc="0" locked="0" layoutInCell="1" allowOverlap="1" wp14:anchorId="06B6953B" wp14:editId="2587BBDF">
                      <wp:simplePos x="0" y="0"/>
                      <wp:positionH relativeFrom="column">
                        <wp:posOffset>42933</wp:posOffset>
                      </wp:positionH>
                      <wp:positionV relativeFrom="paragraph">
                        <wp:posOffset>52698</wp:posOffset>
                      </wp:positionV>
                      <wp:extent cx="1045210" cy="437432"/>
                      <wp:effectExtent l="0" t="0" r="2540" b="1270"/>
                      <wp:wrapNone/>
                      <wp:docPr id="10" name="Text Box 10"/>
                      <wp:cNvGraphicFramePr/>
                      <a:graphic xmlns:a="http://schemas.openxmlformats.org/drawingml/2006/main">
                        <a:graphicData uri="http://schemas.microsoft.com/office/word/2010/wordprocessingShape">
                          <wps:wsp>
                            <wps:cNvSpPr txBox="1"/>
                            <wps:spPr>
                              <a:xfrm>
                                <a:off x="0" y="0"/>
                                <a:ext cx="1045210" cy="437432"/>
                              </a:xfrm>
                              <a:prstGeom prst="rect">
                                <a:avLst/>
                              </a:prstGeom>
                              <a:solidFill>
                                <a:schemeClr val="lt1"/>
                              </a:solidFill>
                              <a:ln w="6350">
                                <a:noFill/>
                              </a:ln>
                            </wps:spPr>
                            <wps:txbx>
                              <w:txbxContent>
                                <w:p w14:paraId="08B4F7C7" w14:textId="77777777" w:rsidR="009044F4" w:rsidRPr="00F36197" w:rsidRDefault="009044F4" w:rsidP="009044F4">
                                  <w:pPr>
                                    <w:rPr>
                                      <w:rFonts w:ascii="Arial" w:hAnsi="Arial" w:cs="Arial"/>
                                      <w:b/>
                                      <w:bCs/>
                                      <w:color w:val="FF0000"/>
                                      <w:sz w:val="20"/>
                                    </w:rPr>
                                  </w:pPr>
                                  <w:r w:rsidRPr="00F36197">
                                    <w:rPr>
                                      <w:rFonts w:ascii="Arial" w:hAnsi="Arial" w:cs="Arial"/>
                                      <w:b/>
                                      <w:bCs/>
                                      <w:color w:val="FF0000"/>
                                      <w:sz w:val="20"/>
                                    </w:rPr>
                                    <w:t xml:space="preserve">Variable Fee </w:t>
                                  </w:r>
                                  <w:r w:rsidRPr="00F36197">
                                    <w:rPr>
                                      <w:rFonts w:ascii="Arial" w:hAnsi="Arial" w:cs="Arial"/>
                                      <w:color w:val="FF0000"/>
                                      <w:sz w:val="20"/>
                                    </w:rPr>
                                    <w:t>(weight-based)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953B" id="Text Box 10" o:spid="_x0000_s1028" type="#_x0000_t202" style="position:absolute;margin-left:3.4pt;margin-top:4.15pt;width:82.3pt;height:34.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" fillcolor="white [3201]" stroked="f" strokeweight=".5pt">
                      <v:textbox>
                        <w:txbxContent>
                          <w:p w14:paraId="08B4F7C7" w14:textId="77777777" w:rsidR="009044F4" w:rsidRPr="00F36197" w:rsidRDefault="009044F4" w:rsidP="009044F4">
                            <w:pPr>
                              <w:rPr>
                                <w:rFonts w:ascii="Arial" w:hAnsi="Arial" w:cs="Arial"/>
                                <w:b/>
                                <w:bCs/>
                                <w:color w:val="FF0000"/>
                                <w:sz w:val="20"/>
                              </w:rPr>
                            </w:pPr>
                            <w:r w:rsidRPr="00F36197">
                              <w:rPr>
                                <w:rFonts w:ascii="Arial" w:hAnsi="Arial" w:cs="Arial"/>
                                <w:b/>
                                <w:bCs/>
                                <w:color w:val="FF0000"/>
                                <w:sz w:val="20"/>
                              </w:rPr>
                              <w:t xml:space="preserve">Variable Fee </w:t>
                            </w:r>
                            <w:r w:rsidRPr="00F36197">
                              <w:rPr>
                                <w:rFonts w:ascii="Arial" w:hAnsi="Arial" w:cs="Arial"/>
                                <w:color w:val="FF0000"/>
                                <w:sz w:val="20"/>
                              </w:rPr>
                              <w:t>(weight-based)</w:t>
                            </w:r>
                          </w:p>
                        </w:txbxContent>
                      </v:textbox>
                    </v:shape>
                  </w:pict>
                </mc:Fallback>
              </mc:AlternateContent>
            </w:r>
            <w:r w:rsidRPr="00637992">
              <w:rPr>
                <w:rFonts w:ascii="Arial" w:hAnsi="Arial" w:cs="Arial"/>
                <w:noProof/>
                <w:sz w:val="22"/>
                <w:szCs w:val="22"/>
              </w:rPr>
              <mc:AlternateContent>
                <mc:Choice Requires="wps">
                  <w:drawing>
                    <wp:anchor distT="0" distB="0" distL="114300" distR="114300" simplePos="0" relativeHeight="251633152" behindDoc="0" locked="0" layoutInCell="1" allowOverlap="1" wp14:anchorId="633F1FC5" wp14:editId="07B2A688">
                      <wp:simplePos x="0" y="0"/>
                      <wp:positionH relativeFrom="column">
                        <wp:posOffset>1089337</wp:posOffset>
                      </wp:positionH>
                      <wp:positionV relativeFrom="paragraph">
                        <wp:posOffset>54845</wp:posOffset>
                      </wp:positionV>
                      <wp:extent cx="1532779" cy="438036"/>
                      <wp:effectExtent l="0" t="0" r="10795" b="19685"/>
                      <wp:wrapNone/>
                      <wp:docPr id="11" name="Rectangle 11"/>
                      <wp:cNvGraphicFramePr/>
                      <a:graphic xmlns:a="http://schemas.openxmlformats.org/drawingml/2006/main">
                        <a:graphicData uri="http://schemas.microsoft.com/office/word/2010/wordprocessingShape">
                          <wps:wsp>
                            <wps:cNvSpPr/>
                            <wps:spPr>
                              <a:xfrm>
                                <a:off x="0" y="0"/>
                                <a:ext cx="1532779" cy="438036"/>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21924FC2" w14:textId="77777777" w:rsidR="009044F4" w:rsidRDefault="009044F4" w:rsidP="009044F4">
                                  <w:pPr>
                                    <w:jc w:val="center"/>
                                    <w:rPr>
                                      <w:rFonts w:ascii="Arial" w:hAnsi="Arial" w:cs="Arial"/>
                                      <w:sz w:val="22"/>
                                      <w:szCs w:val="22"/>
                                    </w:rPr>
                                  </w:pPr>
                                  <w:r>
                                    <w:rPr>
                                      <w:rFonts w:ascii="Arial" w:hAnsi="Arial" w:cs="Arial"/>
                                      <w:sz w:val="22"/>
                                      <w:szCs w:val="22"/>
                                    </w:rPr>
                                    <w:t>Per-ton-rate fee</w:t>
                                  </w:r>
                                  <w:r w:rsidRPr="00AD564E">
                                    <w:rPr>
                                      <w:rFonts w:ascii="Arial" w:hAnsi="Arial" w:cs="Arial"/>
                                      <w:sz w:val="22"/>
                                      <w:szCs w:val="22"/>
                                    </w:rPr>
                                    <w:t xml:space="preserve">: </w:t>
                                  </w:r>
                                  <w:r w:rsidRPr="00CC03AB">
                                    <w:rPr>
                                      <w:rFonts w:ascii="Arial" w:hAnsi="Arial" w:cs="Arial"/>
                                      <w:b/>
                                      <w:bCs/>
                                      <w:sz w:val="22"/>
                                      <w:szCs w:val="22"/>
                                    </w:rPr>
                                    <w:t>$123.82 per ton</w:t>
                                  </w:r>
                                </w:p>
                                <w:p w14:paraId="050A7D61" w14:textId="77777777" w:rsidR="009044F4" w:rsidRPr="00AD564E" w:rsidRDefault="009044F4" w:rsidP="009044F4">
                                  <w:pPr>
                                    <w:jc w:val="cente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F1FC5" id="Rectangle 11" o:spid="_x0000_s1029" style="position:absolute;margin-left:85.75pt;margin-top:4.3pt;width:120.7pt;height: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" fillcolor="#f2f2f2 [3052]" strokecolor="black [3200]" strokeweight=".25pt">
                      <v:textbox>
                        <w:txbxContent>
                          <w:p w14:paraId="21924FC2" w14:textId="77777777" w:rsidR="009044F4" w:rsidRDefault="009044F4" w:rsidP="009044F4">
                            <w:pPr>
                              <w:jc w:val="center"/>
                              <w:rPr>
                                <w:rFonts w:ascii="Arial" w:hAnsi="Arial" w:cs="Arial"/>
                                <w:sz w:val="22"/>
                                <w:szCs w:val="22"/>
                              </w:rPr>
                            </w:pPr>
                            <w:r>
                              <w:rPr>
                                <w:rFonts w:ascii="Arial" w:hAnsi="Arial" w:cs="Arial"/>
                                <w:sz w:val="22"/>
                                <w:szCs w:val="22"/>
                              </w:rPr>
                              <w:t>Per-ton-rate fee</w:t>
                            </w:r>
                            <w:r w:rsidRPr="00AD564E">
                              <w:rPr>
                                <w:rFonts w:ascii="Arial" w:hAnsi="Arial" w:cs="Arial"/>
                                <w:sz w:val="22"/>
                                <w:szCs w:val="22"/>
                              </w:rPr>
                              <w:t xml:space="preserve">: </w:t>
                            </w:r>
                            <w:r w:rsidRPr="00CC03AB">
                              <w:rPr>
                                <w:rFonts w:ascii="Arial" w:hAnsi="Arial" w:cs="Arial"/>
                                <w:b/>
                                <w:bCs/>
                                <w:sz w:val="22"/>
                                <w:szCs w:val="22"/>
                              </w:rPr>
                              <w:t>$123.82 per ton</w:t>
                            </w:r>
                          </w:p>
                          <w:p w14:paraId="050A7D61" w14:textId="77777777" w:rsidR="009044F4" w:rsidRPr="00AD564E" w:rsidRDefault="009044F4" w:rsidP="009044F4">
                            <w:pPr>
                              <w:jc w:val="center"/>
                              <w:rPr>
                                <w:rFonts w:ascii="Arial" w:hAnsi="Arial" w:cs="Arial"/>
                                <w:sz w:val="22"/>
                                <w:szCs w:val="22"/>
                              </w:rPr>
                            </w:pPr>
                          </w:p>
                        </w:txbxContent>
                      </v:textbox>
                    </v:rect>
                  </w:pict>
                </mc:Fallback>
              </mc:AlternateContent>
            </w:r>
          </w:p>
          <w:p w14:paraId="0D003C2C" w14:textId="77777777" w:rsidR="009044F4" w:rsidRDefault="009044F4" w:rsidP="00CC03AB">
            <w:pPr>
              <w:widowControl w:val="0"/>
              <w:tabs>
                <w:tab w:val="left" w:pos="1540"/>
              </w:tabs>
              <w:rPr>
                <w:rFonts w:ascii="Arial" w:hAnsi="Arial" w:cs="Arial"/>
                <w:sz w:val="22"/>
                <w:szCs w:val="22"/>
              </w:rPr>
            </w:pPr>
          </w:p>
          <w:p w14:paraId="5D112EB0" w14:textId="77777777" w:rsidR="009044F4" w:rsidRPr="00593574" w:rsidRDefault="009044F4" w:rsidP="00CC03AB">
            <w:pPr>
              <w:widowControl w:val="0"/>
              <w:tabs>
                <w:tab w:val="left" w:pos="154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5440" behindDoc="0" locked="0" layoutInCell="1" allowOverlap="1" wp14:anchorId="6BAB5A56" wp14:editId="27B59885">
                      <wp:simplePos x="0" y="0"/>
                      <wp:positionH relativeFrom="column">
                        <wp:posOffset>1599325</wp:posOffset>
                      </wp:positionH>
                      <wp:positionV relativeFrom="paragraph">
                        <wp:posOffset>196215</wp:posOffset>
                      </wp:positionV>
                      <wp:extent cx="487315" cy="224155"/>
                      <wp:effectExtent l="0" t="0" r="27305" b="23495"/>
                      <wp:wrapNone/>
                      <wp:docPr id="16" name="Text Box 16"/>
                      <wp:cNvGraphicFramePr/>
                      <a:graphic xmlns:a="http://schemas.openxmlformats.org/drawingml/2006/main">
                        <a:graphicData uri="http://schemas.microsoft.com/office/word/2010/wordprocessingShape">
                          <wps:wsp>
                            <wps:cNvSpPr txBox="1"/>
                            <wps:spPr>
                              <a:xfrm>
                                <a:off x="0" y="0"/>
                                <a:ext cx="487315" cy="224155"/>
                              </a:xfrm>
                              <a:prstGeom prst="rect">
                                <a:avLst/>
                              </a:prstGeom>
                              <a:solidFill>
                                <a:schemeClr val="lt1"/>
                              </a:solidFill>
                              <a:ln w="0">
                                <a:solidFill>
                                  <a:schemeClr val="bg1"/>
                                </a:solidFill>
                              </a:ln>
                            </wps:spPr>
                            <wps:txbx>
                              <w:txbxContent>
                                <w:p w14:paraId="7E7892AE" w14:textId="77777777" w:rsidR="009044F4" w:rsidRPr="00A63C01" w:rsidRDefault="009044F4" w:rsidP="009044F4">
                                  <w:pPr>
                                    <w:rPr>
                                      <w:rFonts w:ascii="Arial" w:hAnsi="Arial" w:cs="Arial"/>
                                      <w:sz w:val="22"/>
                                      <w:szCs w:val="22"/>
                                    </w:rPr>
                                  </w:pPr>
                                  <w:r>
                                    <w:rPr>
                                      <w:rFonts w:ascii="Arial" w:hAnsi="Arial" w:cs="Arial"/>
                                      <w:sz w:val="22"/>
                                      <w:szCs w:val="22"/>
                                    </w:rPr>
                                    <w:t>ANDD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AB5A56" id="Text Box 16" o:spid="_x0000_s1030" type="#_x0000_t202" style="position:absolute;margin-left:125.95pt;margin-top:15.45pt;width:38.35pt;height:17.6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" fillcolor="white [3201]" strokecolor="white [3212]" strokeweight="0">
                      <v:textbox>
                        <w:txbxContent>
                          <w:p w14:paraId="7E7892AE" w14:textId="77777777" w:rsidR="009044F4" w:rsidRPr="00A63C01" w:rsidRDefault="009044F4" w:rsidP="009044F4">
                            <w:pPr>
                              <w:rPr>
                                <w:rFonts w:ascii="Arial" w:hAnsi="Arial" w:cs="Arial"/>
                                <w:sz w:val="22"/>
                                <w:szCs w:val="22"/>
                              </w:rPr>
                            </w:pPr>
                            <w:r>
                              <w:rPr>
                                <w:rFonts w:ascii="Arial" w:hAnsi="Arial" w:cs="Arial"/>
                                <w:sz w:val="22"/>
                                <w:szCs w:val="22"/>
                              </w:rPr>
                              <w:t>ANDD</w:t>
                            </w:r>
                          </w:p>
                        </w:txbxContent>
                      </v:textbox>
                    </v:shape>
                  </w:pict>
                </mc:Fallback>
              </mc:AlternateContent>
            </w:r>
            <w:r w:rsidRPr="008B061E">
              <w:rPr>
                <w:rFonts w:ascii="Arial" w:hAnsi="Arial" w:cs="Arial"/>
                <w:noProof/>
                <w:sz w:val="22"/>
                <w:szCs w:val="22"/>
              </w:rPr>
              <mc:AlternateContent>
                <mc:Choice Requires="wps">
                  <w:drawing>
                    <wp:anchor distT="0" distB="0" distL="114300" distR="114300" simplePos="0" relativeHeight="251637248" behindDoc="0" locked="0" layoutInCell="1" allowOverlap="1" wp14:anchorId="7CA8E2C8" wp14:editId="761102E5">
                      <wp:simplePos x="0" y="0"/>
                      <wp:positionH relativeFrom="column">
                        <wp:posOffset>59359</wp:posOffset>
                      </wp:positionH>
                      <wp:positionV relativeFrom="paragraph">
                        <wp:posOffset>443196</wp:posOffset>
                      </wp:positionV>
                      <wp:extent cx="1237452" cy="437515"/>
                      <wp:effectExtent l="0" t="0" r="1270" b="635"/>
                      <wp:wrapNone/>
                      <wp:docPr id="14" name="Text Box 14"/>
                      <wp:cNvGraphicFramePr/>
                      <a:graphic xmlns:a="http://schemas.openxmlformats.org/drawingml/2006/main">
                        <a:graphicData uri="http://schemas.microsoft.com/office/word/2010/wordprocessingShape">
                          <wps:wsp>
                            <wps:cNvSpPr txBox="1"/>
                            <wps:spPr>
                              <a:xfrm>
                                <a:off x="0" y="0"/>
                                <a:ext cx="1237452" cy="437515"/>
                              </a:xfrm>
                              <a:prstGeom prst="rect">
                                <a:avLst/>
                              </a:prstGeom>
                              <a:solidFill>
                                <a:schemeClr val="lt1"/>
                              </a:solidFill>
                              <a:ln w="6350">
                                <a:noFill/>
                              </a:ln>
                            </wps:spPr>
                            <wps:txbx>
                              <w:txbxContent>
                                <w:p w14:paraId="72A01000" w14:textId="77777777" w:rsidR="009044F4" w:rsidRPr="008B061E" w:rsidRDefault="009044F4" w:rsidP="009044F4">
                                  <w:pPr>
                                    <w:rPr>
                                      <w:rFonts w:ascii="Arial" w:hAnsi="Arial" w:cs="Arial"/>
                                      <w:b/>
                                      <w:bCs/>
                                      <w:color w:val="0070C0"/>
                                      <w:sz w:val="20"/>
                                    </w:rPr>
                                  </w:pPr>
                                  <w:r>
                                    <w:rPr>
                                      <w:rFonts w:ascii="Arial" w:hAnsi="Arial" w:cs="Arial"/>
                                      <w:b/>
                                      <w:bCs/>
                                      <w:color w:val="0070C0"/>
                                      <w:sz w:val="20"/>
                                    </w:rPr>
                                    <w:t>Fixed</w:t>
                                  </w:r>
                                  <w:r w:rsidRPr="008B061E">
                                    <w:rPr>
                                      <w:rFonts w:ascii="Arial" w:hAnsi="Arial" w:cs="Arial"/>
                                      <w:b/>
                                      <w:bCs/>
                                      <w:color w:val="0070C0"/>
                                      <w:sz w:val="20"/>
                                    </w:rPr>
                                    <w:t xml:space="preserve"> Fee </w:t>
                                  </w:r>
                                  <w:r w:rsidRPr="008B061E">
                                    <w:rPr>
                                      <w:rFonts w:ascii="Arial" w:hAnsi="Arial" w:cs="Arial"/>
                                      <w:color w:val="0070C0"/>
                                      <w:sz w:val="20"/>
                                    </w:rPr>
                                    <w:t>(</w:t>
                                  </w:r>
                                  <w:r>
                                    <w:rPr>
                                      <w:rFonts w:ascii="Arial" w:hAnsi="Arial" w:cs="Arial"/>
                                      <w:color w:val="0070C0"/>
                                      <w:sz w:val="20"/>
                                    </w:rPr>
                                    <w:t>non-</w:t>
                                  </w:r>
                                  <w:r w:rsidRPr="008B061E">
                                    <w:rPr>
                                      <w:rFonts w:ascii="Arial" w:hAnsi="Arial" w:cs="Arial"/>
                                      <w:color w:val="0070C0"/>
                                      <w:sz w:val="20"/>
                                    </w:rPr>
                                    <w:t>weight-based)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E2C8" id="Text Box 14" o:spid="_x0000_s1031" type="#_x0000_t202" style="position:absolute;margin-left:4.65pt;margin-top:34.9pt;width:97.45pt;height:3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" fillcolor="white [3201]" stroked="f" strokeweight=".5pt">
                      <v:textbox>
                        <w:txbxContent>
                          <w:p w14:paraId="72A01000" w14:textId="77777777" w:rsidR="009044F4" w:rsidRPr="008B061E" w:rsidRDefault="009044F4" w:rsidP="009044F4">
                            <w:pPr>
                              <w:rPr>
                                <w:rFonts w:ascii="Arial" w:hAnsi="Arial" w:cs="Arial"/>
                                <w:b/>
                                <w:bCs/>
                                <w:color w:val="0070C0"/>
                                <w:sz w:val="20"/>
                              </w:rPr>
                            </w:pPr>
                            <w:r>
                              <w:rPr>
                                <w:rFonts w:ascii="Arial" w:hAnsi="Arial" w:cs="Arial"/>
                                <w:b/>
                                <w:bCs/>
                                <w:color w:val="0070C0"/>
                                <w:sz w:val="20"/>
                              </w:rPr>
                              <w:t>Fixed</w:t>
                            </w:r>
                            <w:r w:rsidRPr="008B061E">
                              <w:rPr>
                                <w:rFonts w:ascii="Arial" w:hAnsi="Arial" w:cs="Arial"/>
                                <w:b/>
                                <w:bCs/>
                                <w:color w:val="0070C0"/>
                                <w:sz w:val="20"/>
                              </w:rPr>
                              <w:t xml:space="preserve"> Fee </w:t>
                            </w:r>
                            <w:r w:rsidRPr="008B061E">
                              <w:rPr>
                                <w:rFonts w:ascii="Arial" w:hAnsi="Arial" w:cs="Arial"/>
                                <w:color w:val="0070C0"/>
                                <w:sz w:val="20"/>
                              </w:rPr>
                              <w:t>(</w:t>
                            </w:r>
                            <w:r>
                              <w:rPr>
                                <w:rFonts w:ascii="Arial" w:hAnsi="Arial" w:cs="Arial"/>
                                <w:color w:val="0070C0"/>
                                <w:sz w:val="20"/>
                              </w:rPr>
                              <w:t>non-</w:t>
                            </w:r>
                            <w:r w:rsidRPr="008B061E">
                              <w:rPr>
                                <w:rFonts w:ascii="Arial" w:hAnsi="Arial" w:cs="Arial"/>
                                <w:color w:val="0070C0"/>
                                <w:sz w:val="20"/>
                              </w:rPr>
                              <w:t>weight-based)</w:t>
                            </w:r>
                          </w:p>
                        </w:txbxContent>
                      </v:textbox>
                    </v:shape>
                  </w:pict>
                </mc:Fallback>
              </mc:AlternateContent>
            </w:r>
            <w:r w:rsidRPr="008B061E">
              <w:rPr>
                <w:rFonts w:ascii="Arial" w:hAnsi="Arial" w:cs="Arial"/>
                <w:noProof/>
                <w:sz w:val="22"/>
                <w:szCs w:val="22"/>
              </w:rPr>
              <mc:AlternateContent>
                <mc:Choice Requires="wps">
                  <w:drawing>
                    <wp:anchor distT="0" distB="0" distL="114300" distR="114300" simplePos="0" relativeHeight="251641344" behindDoc="0" locked="0" layoutInCell="1" allowOverlap="1" wp14:anchorId="05A90F4B" wp14:editId="41BC6CB7">
                      <wp:simplePos x="0" y="0"/>
                      <wp:positionH relativeFrom="column">
                        <wp:posOffset>1106565</wp:posOffset>
                      </wp:positionH>
                      <wp:positionV relativeFrom="paragraph">
                        <wp:posOffset>442595</wp:posOffset>
                      </wp:positionV>
                      <wp:extent cx="1532255" cy="437515"/>
                      <wp:effectExtent l="0" t="0" r="10795" b="19685"/>
                      <wp:wrapNone/>
                      <wp:docPr id="15" name="Rectangle 15"/>
                      <wp:cNvGraphicFramePr/>
                      <a:graphic xmlns:a="http://schemas.openxmlformats.org/drawingml/2006/main">
                        <a:graphicData uri="http://schemas.microsoft.com/office/word/2010/wordprocessingShape">
                          <wps:wsp>
                            <wps:cNvSpPr/>
                            <wps:spPr>
                              <a:xfrm>
                                <a:off x="0" y="0"/>
                                <a:ext cx="1532255" cy="437515"/>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0192B455" w14:textId="289B73ED" w:rsidR="009044F4" w:rsidRPr="00AD564E" w:rsidRDefault="009044F4" w:rsidP="009044F4">
                                  <w:pPr>
                                    <w:jc w:val="center"/>
                                    <w:rPr>
                                      <w:rFonts w:ascii="Arial" w:hAnsi="Arial" w:cs="Arial"/>
                                      <w:sz w:val="22"/>
                                      <w:szCs w:val="22"/>
                                    </w:rPr>
                                  </w:pPr>
                                  <w:r>
                                    <w:rPr>
                                      <w:rFonts w:ascii="Arial" w:hAnsi="Arial" w:cs="Arial"/>
                                      <w:sz w:val="22"/>
                                      <w:szCs w:val="22"/>
                                    </w:rPr>
                                    <w:t>Proportional share of</w:t>
                                  </w:r>
                                  <w:r w:rsidR="00CC03AB">
                                    <w:rPr>
                                      <w:rFonts w:ascii="Arial" w:hAnsi="Arial" w:cs="Arial"/>
                                      <w:sz w:val="22"/>
                                      <w:szCs w:val="22"/>
                                    </w:rPr>
                                    <w:t xml:space="preserve"> f</w:t>
                                  </w:r>
                                  <w:r>
                                    <w:rPr>
                                      <w:rFonts w:ascii="Arial" w:hAnsi="Arial" w:cs="Arial"/>
                                      <w:sz w:val="22"/>
                                      <w:szCs w:val="22"/>
                                    </w:rPr>
                                    <w:t>ixed-</w:t>
                                  </w:r>
                                  <w:r w:rsidR="00CC03AB">
                                    <w:rPr>
                                      <w:rFonts w:ascii="Arial" w:hAnsi="Arial" w:cs="Arial"/>
                                      <w:sz w:val="22"/>
                                      <w:szCs w:val="22"/>
                                    </w:rPr>
                                    <w:t>a</w:t>
                                  </w:r>
                                  <w:r>
                                    <w:rPr>
                                      <w:rFonts w:ascii="Arial" w:hAnsi="Arial" w:cs="Arial"/>
                                      <w:sz w:val="22"/>
                                      <w:szCs w:val="22"/>
                                    </w:rPr>
                                    <w:t xml:space="preserve">nnual </w:t>
                                  </w:r>
                                  <w:r w:rsidR="00CC03AB">
                                    <w:rPr>
                                      <w:rFonts w:ascii="Arial" w:hAnsi="Arial" w:cs="Arial"/>
                                      <w:sz w:val="22"/>
                                      <w:szCs w:val="22"/>
                                    </w:rPr>
                                    <w:t>c</w:t>
                                  </w:r>
                                  <w:r>
                                    <w:rPr>
                                      <w:rFonts w:ascii="Arial" w:hAnsi="Arial" w:cs="Arial"/>
                                      <w:sz w:val="22"/>
                                      <w:szCs w:val="22"/>
                                    </w:rPr>
                                    <w:t>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0F4B" id="Rectangle 15" o:spid="_x0000_s1032" style="position:absolute;margin-left:87.15pt;margin-top:34.85pt;width:120.65pt;height:3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" fillcolor="#f2f2f2 [3052]" strokecolor="black [3200]" strokeweight=".25pt">
                      <v:textbox>
                        <w:txbxContent>
                          <w:p w14:paraId="0192B455" w14:textId="289B73ED" w:rsidR="009044F4" w:rsidRPr="00AD564E" w:rsidRDefault="009044F4" w:rsidP="009044F4">
                            <w:pPr>
                              <w:jc w:val="center"/>
                              <w:rPr>
                                <w:rFonts w:ascii="Arial" w:hAnsi="Arial" w:cs="Arial"/>
                                <w:sz w:val="22"/>
                                <w:szCs w:val="22"/>
                              </w:rPr>
                            </w:pPr>
                            <w:r>
                              <w:rPr>
                                <w:rFonts w:ascii="Arial" w:hAnsi="Arial" w:cs="Arial"/>
                                <w:sz w:val="22"/>
                                <w:szCs w:val="22"/>
                              </w:rPr>
                              <w:t>Proportional share of</w:t>
                            </w:r>
                            <w:r w:rsidR="00CC03AB">
                              <w:rPr>
                                <w:rFonts w:ascii="Arial" w:hAnsi="Arial" w:cs="Arial"/>
                                <w:sz w:val="22"/>
                                <w:szCs w:val="22"/>
                              </w:rPr>
                              <w:t xml:space="preserve"> f</w:t>
                            </w:r>
                            <w:r>
                              <w:rPr>
                                <w:rFonts w:ascii="Arial" w:hAnsi="Arial" w:cs="Arial"/>
                                <w:sz w:val="22"/>
                                <w:szCs w:val="22"/>
                              </w:rPr>
                              <w:t>ixed-</w:t>
                            </w:r>
                            <w:r w:rsidR="00CC03AB">
                              <w:rPr>
                                <w:rFonts w:ascii="Arial" w:hAnsi="Arial" w:cs="Arial"/>
                                <w:sz w:val="22"/>
                                <w:szCs w:val="22"/>
                              </w:rPr>
                              <w:t>a</w:t>
                            </w:r>
                            <w:r>
                              <w:rPr>
                                <w:rFonts w:ascii="Arial" w:hAnsi="Arial" w:cs="Arial"/>
                                <w:sz w:val="22"/>
                                <w:szCs w:val="22"/>
                              </w:rPr>
                              <w:t xml:space="preserve">nnual </w:t>
                            </w:r>
                            <w:r w:rsidR="00CC03AB">
                              <w:rPr>
                                <w:rFonts w:ascii="Arial" w:hAnsi="Arial" w:cs="Arial"/>
                                <w:sz w:val="22"/>
                                <w:szCs w:val="22"/>
                              </w:rPr>
                              <w:t>c</w:t>
                            </w:r>
                            <w:r>
                              <w:rPr>
                                <w:rFonts w:ascii="Arial" w:hAnsi="Arial" w:cs="Arial"/>
                                <w:sz w:val="22"/>
                                <w:szCs w:val="22"/>
                              </w:rPr>
                              <w:t>harge</w:t>
                            </w:r>
                          </w:p>
                        </w:txbxContent>
                      </v:textbox>
                    </v:rect>
                  </w:pict>
                </mc:Fallback>
              </mc:AlternateContent>
            </w:r>
          </w:p>
        </w:tc>
      </w:tr>
      <w:tr w:rsidR="009044F4" w14:paraId="0D3814B3" w14:textId="77777777" w:rsidTr="00C747EC">
        <w:trPr>
          <w:trHeight w:val="2438"/>
          <w:jc w:val="center"/>
        </w:trPr>
        <w:tc>
          <w:tcPr>
            <w:tcW w:w="4550" w:type="dxa"/>
          </w:tcPr>
          <w:p w14:paraId="5EE050A0" w14:textId="77777777" w:rsidR="009044F4" w:rsidRDefault="009044F4" w:rsidP="00CC03AB">
            <w:pPr>
              <w:widowControl w:val="0"/>
              <w:tabs>
                <w:tab w:val="left" w:pos="1540"/>
              </w:tabs>
              <w:rPr>
                <w:rFonts w:ascii="Arial" w:hAnsi="Arial" w:cs="Arial"/>
                <w:sz w:val="22"/>
                <w:szCs w:val="22"/>
              </w:rPr>
            </w:pPr>
            <w:r w:rsidRPr="00106A7B">
              <w:rPr>
                <w:rFonts w:ascii="Arial" w:hAnsi="Arial" w:cs="Arial"/>
                <w:b/>
                <w:bCs/>
                <w:sz w:val="22"/>
                <w:szCs w:val="22"/>
              </w:rPr>
              <w:t>Example:</w:t>
            </w:r>
            <w:r>
              <w:rPr>
                <w:rFonts w:ascii="Arial" w:hAnsi="Arial" w:cs="Arial"/>
                <w:sz w:val="22"/>
                <w:szCs w:val="22"/>
              </w:rPr>
              <w:t xml:space="preserve"> Republic Services currently has a contract with the City of Bellevue to provide curbside collection services to residents and businesses/institutions and bills those customers directly.</w:t>
            </w:r>
          </w:p>
          <w:p w14:paraId="5E81FFD6" w14:textId="77777777" w:rsidR="009044F4" w:rsidRDefault="009044F4" w:rsidP="00CC03AB">
            <w:pPr>
              <w:widowControl w:val="0"/>
              <w:tabs>
                <w:tab w:val="left" w:pos="1540"/>
              </w:tabs>
              <w:rPr>
                <w:rFonts w:ascii="Arial" w:hAnsi="Arial" w:cs="Arial"/>
                <w:sz w:val="22"/>
                <w:szCs w:val="22"/>
              </w:rPr>
            </w:pPr>
          </w:p>
          <w:p w14:paraId="3C409C4B" w14:textId="77777777" w:rsidR="009044F4" w:rsidRDefault="009044F4" w:rsidP="00CC03AB">
            <w:pPr>
              <w:widowControl w:val="0"/>
              <w:tabs>
                <w:tab w:val="left" w:pos="1540"/>
              </w:tabs>
              <w:rPr>
                <w:rFonts w:ascii="Arial" w:hAnsi="Arial" w:cs="Arial"/>
                <w:sz w:val="22"/>
                <w:szCs w:val="22"/>
              </w:rPr>
            </w:pPr>
            <w:r>
              <w:rPr>
                <w:rFonts w:ascii="Arial" w:hAnsi="Arial" w:cs="Arial"/>
                <w:sz w:val="22"/>
                <w:szCs w:val="22"/>
              </w:rPr>
              <w:t xml:space="preserve">Each month, SWD sends Republic Services a disposal invoice for the tons of waste it brings from Bellevue to the transfer stations using the per-ton-rate fee of </w:t>
            </w:r>
            <w:r w:rsidRPr="002D713B">
              <w:rPr>
                <w:rFonts w:ascii="Arial" w:hAnsi="Arial" w:cs="Arial"/>
                <w:b/>
                <w:bCs/>
                <w:sz w:val="22"/>
                <w:szCs w:val="22"/>
              </w:rPr>
              <w:t>$154.02 per ton</w:t>
            </w:r>
            <w:r>
              <w:rPr>
                <w:rFonts w:ascii="Arial" w:hAnsi="Arial" w:cs="Arial"/>
                <w:sz w:val="22"/>
                <w:szCs w:val="22"/>
              </w:rPr>
              <w:t xml:space="preserve">. </w:t>
            </w:r>
          </w:p>
        </w:tc>
        <w:tc>
          <w:tcPr>
            <w:tcW w:w="4551" w:type="dxa"/>
          </w:tcPr>
          <w:p w14:paraId="15B8C423" w14:textId="68F0EC2B" w:rsidR="009044F4" w:rsidRDefault="009044F4" w:rsidP="00CC03AB">
            <w:pPr>
              <w:widowControl w:val="0"/>
              <w:tabs>
                <w:tab w:val="left" w:pos="1540"/>
              </w:tabs>
              <w:rPr>
                <w:rFonts w:ascii="Arial" w:hAnsi="Arial" w:cs="Arial"/>
                <w:sz w:val="22"/>
                <w:szCs w:val="22"/>
              </w:rPr>
            </w:pPr>
            <w:r>
              <w:rPr>
                <w:rFonts w:ascii="Arial" w:hAnsi="Arial" w:cs="Arial"/>
                <w:b/>
                <w:bCs/>
                <w:sz w:val="22"/>
                <w:szCs w:val="22"/>
              </w:rPr>
              <w:t xml:space="preserve">Example: </w:t>
            </w:r>
            <w:r>
              <w:rPr>
                <w:rFonts w:ascii="Arial" w:hAnsi="Arial" w:cs="Arial"/>
                <w:sz w:val="22"/>
                <w:szCs w:val="22"/>
              </w:rPr>
              <w:t xml:space="preserve">Under the </w:t>
            </w:r>
            <w:r w:rsidR="00CC03AB">
              <w:rPr>
                <w:rFonts w:ascii="Arial" w:hAnsi="Arial" w:cs="Arial"/>
                <w:sz w:val="22"/>
                <w:szCs w:val="22"/>
              </w:rPr>
              <w:t xml:space="preserve">proposed </w:t>
            </w:r>
            <w:r>
              <w:rPr>
                <w:rFonts w:ascii="Arial" w:hAnsi="Arial" w:cs="Arial"/>
                <w:sz w:val="22"/>
                <w:szCs w:val="22"/>
              </w:rPr>
              <w:t xml:space="preserve">restructure, Republic Services would receive a monthly invoice from SWD, but there would be two components to the invoice: </w:t>
            </w:r>
          </w:p>
          <w:p w14:paraId="6C4932DA" w14:textId="77777777" w:rsidR="009044F4" w:rsidRDefault="009044F4" w:rsidP="00CC03AB">
            <w:pPr>
              <w:widowControl w:val="0"/>
              <w:tabs>
                <w:tab w:val="left" w:pos="1540"/>
              </w:tabs>
              <w:rPr>
                <w:rFonts w:ascii="Arial" w:hAnsi="Arial" w:cs="Arial"/>
                <w:sz w:val="22"/>
                <w:szCs w:val="22"/>
              </w:rPr>
            </w:pPr>
          </w:p>
          <w:p w14:paraId="4F30C19E" w14:textId="0A00967E" w:rsidR="009044F4" w:rsidRDefault="009044F4" w:rsidP="00CC03AB">
            <w:pPr>
              <w:pStyle w:val="ListParagraph0"/>
              <w:widowControl w:val="0"/>
              <w:numPr>
                <w:ilvl w:val="0"/>
                <w:numId w:val="7"/>
              </w:numPr>
              <w:tabs>
                <w:tab w:val="left" w:pos="1540"/>
              </w:tabs>
              <w:spacing w:line="240" w:lineRule="auto"/>
              <w:rPr>
                <w:rFonts w:ascii="Arial" w:hAnsi="Arial" w:cs="Arial"/>
                <w:sz w:val="22"/>
                <w:szCs w:val="22"/>
              </w:rPr>
            </w:pPr>
            <w:r w:rsidRPr="00974C28">
              <w:rPr>
                <w:rFonts w:ascii="Arial" w:hAnsi="Arial" w:cs="Arial"/>
                <w:sz w:val="22"/>
                <w:szCs w:val="22"/>
              </w:rPr>
              <w:t xml:space="preserve">The </w:t>
            </w:r>
            <w:r w:rsidRPr="00974C28">
              <w:rPr>
                <w:rFonts w:ascii="Arial" w:hAnsi="Arial" w:cs="Arial"/>
                <w:b/>
                <w:bCs/>
                <w:sz w:val="22"/>
                <w:szCs w:val="22"/>
              </w:rPr>
              <w:t>variable component</w:t>
            </w:r>
            <w:r w:rsidRPr="00974C28">
              <w:rPr>
                <w:rFonts w:ascii="Arial" w:hAnsi="Arial" w:cs="Arial"/>
                <w:sz w:val="22"/>
                <w:szCs w:val="22"/>
              </w:rPr>
              <w:t xml:space="preserve">, which would cover the tons of waste Republic Services brings from Bellevue to the transfer stations using the per-ton-rate fee of </w:t>
            </w:r>
            <w:r w:rsidRPr="00974C28">
              <w:rPr>
                <w:rFonts w:ascii="Arial" w:hAnsi="Arial" w:cs="Arial"/>
                <w:b/>
                <w:bCs/>
                <w:sz w:val="22"/>
                <w:szCs w:val="22"/>
              </w:rPr>
              <w:t>$123.82 per ton</w:t>
            </w:r>
            <w:r>
              <w:rPr>
                <w:rFonts w:ascii="Arial" w:hAnsi="Arial" w:cs="Arial"/>
                <w:sz w:val="22"/>
                <w:szCs w:val="22"/>
              </w:rPr>
              <w:t>; and</w:t>
            </w:r>
          </w:p>
          <w:p w14:paraId="539A163F" w14:textId="77777777" w:rsidR="0073306D" w:rsidRDefault="0073306D" w:rsidP="00CC03AB">
            <w:pPr>
              <w:pStyle w:val="ListParagraph0"/>
              <w:widowControl w:val="0"/>
              <w:tabs>
                <w:tab w:val="left" w:pos="1540"/>
              </w:tabs>
              <w:spacing w:line="240" w:lineRule="auto"/>
              <w:ind w:left="360"/>
              <w:rPr>
                <w:rFonts w:ascii="Arial" w:hAnsi="Arial" w:cs="Arial"/>
                <w:sz w:val="22"/>
                <w:szCs w:val="22"/>
              </w:rPr>
            </w:pPr>
          </w:p>
          <w:p w14:paraId="1C809DF2" w14:textId="233059AE" w:rsidR="009044F4" w:rsidRPr="00A97E77" w:rsidRDefault="009044F4" w:rsidP="00CC03AB">
            <w:pPr>
              <w:pStyle w:val="ListParagraph0"/>
              <w:widowControl w:val="0"/>
              <w:numPr>
                <w:ilvl w:val="0"/>
                <w:numId w:val="7"/>
              </w:numPr>
              <w:tabs>
                <w:tab w:val="left" w:pos="1540"/>
              </w:tabs>
              <w:spacing w:line="240" w:lineRule="auto"/>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fixed component, </w:t>
            </w:r>
            <w:r>
              <w:rPr>
                <w:rFonts w:ascii="Arial" w:hAnsi="Arial" w:cs="Arial"/>
                <w:sz w:val="22"/>
                <w:szCs w:val="22"/>
              </w:rPr>
              <w:t xml:space="preserve">which would be Republic Services' proportional share of the </w:t>
            </w:r>
            <w:r w:rsidR="00CC03AB">
              <w:rPr>
                <w:rFonts w:ascii="Arial" w:hAnsi="Arial" w:cs="Arial"/>
                <w:sz w:val="22"/>
                <w:szCs w:val="22"/>
              </w:rPr>
              <w:t>f</w:t>
            </w:r>
            <w:r>
              <w:rPr>
                <w:rFonts w:ascii="Arial" w:hAnsi="Arial" w:cs="Arial"/>
                <w:sz w:val="22"/>
                <w:szCs w:val="22"/>
              </w:rPr>
              <w:t>ixed-</w:t>
            </w:r>
            <w:r w:rsidR="00CC03AB">
              <w:rPr>
                <w:rFonts w:ascii="Arial" w:hAnsi="Arial" w:cs="Arial"/>
                <w:sz w:val="22"/>
                <w:szCs w:val="22"/>
              </w:rPr>
              <w:t>a</w:t>
            </w:r>
            <w:r>
              <w:rPr>
                <w:rFonts w:ascii="Arial" w:hAnsi="Arial" w:cs="Arial"/>
                <w:sz w:val="22"/>
                <w:szCs w:val="22"/>
              </w:rPr>
              <w:t xml:space="preserve">nnual </w:t>
            </w:r>
            <w:r w:rsidR="00CC03AB">
              <w:rPr>
                <w:rFonts w:ascii="Arial" w:hAnsi="Arial" w:cs="Arial"/>
                <w:sz w:val="22"/>
                <w:szCs w:val="22"/>
              </w:rPr>
              <w:t>c</w:t>
            </w:r>
            <w:r>
              <w:rPr>
                <w:rFonts w:ascii="Arial" w:hAnsi="Arial" w:cs="Arial"/>
                <w:sz w:val="22"/>
                <w:szCs w:val="22"/>
              </w:rPr>
              <w:t>harge for Bellevue.</w:t>
            </w:r>
            <w:r w:rsidR="00935419">
              <w:rPr>
                <w:rFonts w:ascii="Arial" w:hAnsi="Arial" w:cs="Arial"/>
                <w:sz w:val="22"/>
                <w:szCs w:val="22"/>
              </w:rPr>
              <w:t xml:space="preserve"> For example, if Bellevue residents, businesses, and institutions generated 10 percent of all commercially-hauled tons in the most recent calendar year for which data is available, its billing entity -- in this case, Republic Services -- would be billed 10 percent of the FAC, or approximately $1.97 million, over the course of the year.</w:t>
            </w:r>
          </w:p>
        </w:tc>
      </w:tr>
    </w:tbl>
    <w:p w14:paraId="349F2BA6" w14:textId="77777777" w:rsidR="00D1300D" w:rsidRDefault="00D1300D" w:rsidP="00FF3B74">
      <w:pPr>
        <w:widowControl w:val="0"/>
        <w:jc w:val="both"/>
        <w:rPr>
          <w:rFonts w:ascii="Arial" w:hAnsi="Arial" w:cs="Arial"/>
        </w:rPr>
      </w:pPr>
    </w:p>
    <w:p w14:paraId="5F2DE50E" w14:textId="7609610D" w:rsidR="00E115D9" w:rsidRDefault="00C217D0" w:rsidP="00FF3B74">
      <w:pPr>
        <w:keepNext/>
        <w:jc w:val="both"/>
        <w:rPr>
          <w:rFonts w:ascii="Arial" w:hAnsi="Arial" w:cs="Arial"/>
        </w:rPr>
      </w:pPr>
      <w:r>
        <w:rPr>
          <w:rFonts w:ascii="Arial" w:hAnsi="Arial" w:cs="Arial"/>
          <w:b/>
          <w:bCs/>
        </w:rPr>
        <w:t>Variable</w:t>
      </w:r>
      <w:r w:rsidR="004231AE">
        <w:rPr>
          <w:rFonts w:ascii="Arial" w:hAnsi="Arial" w:cs="Arial"/>
          <w:b/>
          <w:bCs/>
        </w:rPr>
        <w:t xml:space="preserve"> (Weight-based)</w:t>
      </w:r>
      <w:r>
        <w:rPr>
          <w:rFonts w:ascii="Arial" w:hAnsi="Arial" w:cs="Arial"/>
          <w:b/>
          <w:bCs/>
        </w:rPr>
        <w:t xml:space="preserve"> Fees. </w:t>
      </w:r>
      <w:r w:rsidR="006031D8">
        <w:rPr>
          <w:rFonts w:ascii="Arial" w:hAnsi="Arial" w:cs="Arial"/>
        </w:rPr>
        <w:t xml:space="preserve">Under the proposed </w:t>
      </w:r>
      <w:r w:rsidR="008D3DD1">
        <w:rPr>
          <w:rFonts w:ascii="Arial" w:hAnsi="Arial" w:cs="Arial"/>
        </w:rPr>
        <w:t>ordinance</w:t>
      </w:r>
      <w:r w:rsidR="00643E32">
        <w:rPr>
          <w:rFonts w:ascii="Arial" w:hAnsi="Arial" w:cs="Arial"/>
        </w:rPr>
        <w:t>, the</w:t>
      </w:r>
      <w:r w:rsidR="00281E75">
        <w:rPr>
          <w:rFonts w:ascii="Arial" w:hAnsi="Arial" w:cs="Arial"/>
        </w:rPr>
        <w:t xml:space="preserve"> weight-based fee charged to commercial haulers would be reduced</w:t>
      </w:r>
      <w:r w:rsidR="00141E58">
        <w:rPr>
          <w:rFonts w:ascii="Arial" w:hAnsi="Arial" w:cs="Arial"/>
        </w:rPr>
        <w:t xml:space="preserve"> from $154.02 to $123.82 per ton</w:t>
      </w:r>
      <w:r w:rsidR="00D47031">
        <w:rPr>
          <w:rFonts w:ascii="Arial" w:hAnsi="Arial" w:cs="Arial"/>
        </w:rPr>
        <w:t>. In addition</w:t>
      </w:r>
      <w:r w:rsidR="004B7549">
        <w:rPr>
          <w:rFonts w:ascii="Arial" w:hAnsi="Arial" w:cs="Arial"/>
        </w:rPr>
        <w:t xml:space="preserve">, the proposed ordinance would </w:t>
      </w:r>
      <w:r w:rsidR="00D47031">
        <w:rPr>
          <w:rFonts w:ascii="Arial" w:hAnsi="Arial" w:cs="Arial"/>
        </w:rPr>
        <w:t>also modestly reduce solid waste</w:t>
      </w:r>
      <w:r w:rsidR="00873C84">
        <w:rPr>
          <w:rFonts w:ascii="Arial" w:hAnsi="Arial" w:cs="Arial"/>
        </w:rPr>
        <w:t xml:space="preserve"> disposal fees for other types of users. </w:t>
      </w:r>
      <w:r w:rsidR="00947F61">
        <w:rPr>
          <w:rFonts w:ascii="Arial" w:hAnsi="Arial" w:cs="Arial"/>
        </w:rPr>
        <w:t xml:space="preserve">Table </w:t>
      </w:r>
      <w:r w:rsidR="00CC03AB">
        <w:rPr>
          <w:rFonts w:ascii="Arial" w:hAnsi="Arial" w:cs="Arial"/>
        </w:rPr>
        <w:t>4</w:t>
      </w:r>
      <w:r w:rsidR="00947F61">
        <w:rPr>
          <w:rFonts w:ascii="Arial" w:hAnsi="Arial" w:cs="Arial"/>
        </w:rPr>
        <w:t xml:space="preserve"> lists </w:t>
      </w:r>
      <w:r w:rsidR="00D47031">
        <w:rPr>
          <w:rFonts w:ascii="Arial" w:hAnsi="Arial" w:cs="Arial"/>
        </w:rPr>
        <w:t>all</w:t>
      </w:r>
      <w:r w:rsidR="00947F61">
        <w:rPr>
          <w:rFonts w:ascii="Arial" w:hAnsi="Arial" w:cs="Arial"/>
        </w:rPr>
        <w:t xml:space="preserve"> the fees proposed to be changed by the ordinance compared to the current adopted fees. </w:t>
      </w:r>
    </w:p>
    <w:p w14:paraId="2AE8A178" w14:textId="77777777" w:rsidR="00024D34" w:rsidRDefault="00024D34" w:rsidP="00FF3B74">
      <w:pPr>
        <w:keepNext/>
        <w:jc w:val="both"/>
        <w:rPr>
          <w:rFonts w:ascii="Arial" w:hAnsi="Arial" w:cs="Arial"/>
        </w:rPr>
      </w:pPr>
    </w:p>
    <w:p w14:paraId="1A920602" w14:textId="77777777" w:rsidR="00CC03AB" w:rsidRDefault="00CC03AB" w:rsidP="009A74F0">
      <w:pPr>
        <w:jc w:val="center"/>
        <w:rPr>
          <w:rFonts w:ascii="Arial" w:hAnsi="Arial" w:cs="Arial"/>
          <w:b/>
          <w:szCs w:val="24"/>
        </w:rPr>
      </w:pPr>
    </w:p>
    <w:p w14:paraId="02834B53" w14:textId="77777777" w:rsidR="00CC03AB" w:rsidRDefault="00CC03AB" w:rsidP="009A74F0">
      <w:pPr>
        <w:jc w:val="center"/>
        <w:rPr>
          <w:rFonts w:ascii="Arial" w:hAnsi="Arial" w:cs="Arial"/>
          <w:b/>
          <w:szCs w:val="24"/>
        </w:rPr>
      </w:pPr>
    </w:p>
    <w:p w14:paraId="0ACB0DB8" w14:textId="77777777" w:rsidR="00CC03AB" w:rsidRDefault="00CC03AB" w:rsidP="009A74F0">
      <w:pPr>
        <w:jc w:val="center"/>
        <w:rPr>
          <w:rFonts w:ascii="Arial" w:hAnsi="Arial" w:cs="Arial"/>
          <w:b/>
          <w:szCs w:val="24"/>
        </w:rPr>
      </w:pPr>
    </w:p>
    <w:p w14:paraId="076F78A0" w14:textId="77777777" w:rsidR="00CC03AB" w:rsidRDefault="00CC03AB" w:rsidP="009A74F0">
      <w:pPr>
        <w:jc w:val="center"/>
        <w:rPr>
          <w:rFonts w:ascii="Arial" w:hAnsi="Arial" w:cs="Arial"/>
          <w:b/>
          <w:szCs w:val="24"/>
        </w:rPr>
      </w:pPr>
    </w:p>
    <w:p w14:paraId="13647511" w14:textId="77777777" w:rsidR="00CC03AB" w:rsidRDefault="00CC03AB" w:rsidP="009A74F0">
      <w:pPr>
        <w:jc w:val="center"/>
        <w:rPr>
          <w:rFonts w:ascii="Arial" w:hAnsi="Arial" w:cs="Arial"/>
          <w:b/>
          <w:szCs w:val="24"/>
        </w:rPr>
      </w:pPr>
    </w:p>
    <w:p w14:paraId="0EA79F75" w14:textId="77777777" w:rsidR="00CC03AB" w:rsidRDefault="00CC03AB" w:rsidP="008524A9">
      <w:pPr>
        <w:rPr>
          <w:rFonts w:ascii="Arial" w:hAnsi="Arial" w:cs="Arial"/>
          <w:b/>
          <w:szCs w:val="24"/>
        </w:rPr>
      </w:pPr>
    </w:p>
    <w:p w14:paraId="7EB941BE" w14:textId="193B2FDB" w:rsidR="00E115D9" w:rsidRDefault="00E115D9" w:rsidP="009A74F0">
      <w:pPr>
        <w:jc w:val="center"/>
        <w:rPr>
          <w:rFonts w:ascii="Arial" w:hAnsi="Arial" w:cs="Arial"/>
          <w:b/>
          <w:szCs w:val="24"/>
        </w:rPr>
      </w:pPr>
      <w:r>
        <w:rPr>
          <w:rFonts w:ascii="Arial" w:hAnsi="Arial" w:cs="Arial"/>
          <w:b/>
          <w:szCs w:val="24"/>
        </w:rPr>
        <w:lastRenderedPageBreak/>
        <w:t xml:space="preserve">Table </w:t>
      </w:r>
      <w:r w:rsidR="00CC03AB">
        <w:rPr>
          <w:rFonts w:ascii="Arial" w:hAnsi="Arial" w:cs="Arial"/>
          <w:b/>
          <w:szCs w:val="24"/>
        </w:rPr>
        <w:t>4</w:t>
      </w:r>
      <w:r>
        <w:rPr>
          <w:rFonts w:ascii="Arial" w:hAnsi="Arial" w:cs="Arial"/>
          <w:b/>
          <w:szCs w:val="24"/>
        </w:rPr>
        <w:t>.</w:t>
      </w:r>
    </w:p>
    <w:p w14:paraId="241C194D" w14:textId="3DC4D371" w:rsidR="00E115D9" w:rsidRPr="001C4B19" w:rsidRDefault="00CC03AB" w:rsidP="009A74F0">
      <w:pPr>
        <w:jc w:val="center"/>
        <w:rPr>
          <w:rFonts w:ascii="Arial" w:hAnsi="Arial" w:cs="Arial"/>
          <w:b/>
          <w:szCs w:val="24"/>
        </w:rPr>
      </w:pPr>
      <w:r>
        <w:rPr>
          <w:rFonts w:ascii="Arial" w:hAnsi="Arial" w:cs="Arial"/>
          <w:b/>
          <w:szCs w:val="24"/>
        </w:rPr>
        <w:t>Solid Waste Fees Proposed by PO 2021-0449</w:t>
      </w:r>
    </w:p>
    <w:p w14:paraId="65035B70" w14:textId="77777777" w:rsidR="00E115D9" w:rsidRPr="001C4B19" w:rsidRDefault="00E115D9" w:rsidP="00FF3B74">
      <w:pPr>
        <w:jc w:val="both"/>
        <w:rPr>
          <w:rFonts w:ascii="Arial" w:hAnsi="Arial" w:cs="Arial"/>
          <w:b/>
          <w:szCs w:val="24"/>
        </w:rPr>
      </w:pPr>
    </w:p>
    <w:tbl>
      <w:tblPr>
        <w:tblStyle w:val="TableGrid"/>
        <w:tblW w:w="9361" w:type="dxa"/>
        <w:jc w:val="center"/>
        <w:tblLook w:val="04A0" w:firstRow="1" w:lastRow="0" w:firstColumn="1" w:lastColumn="0" w:noHBand="0" w:noVBand="1"/>
      </w:tblPr>
      <w:tblGrid>
        <w:gridCol w:w="1532"/>
        <w:gridCol w:w="1048"/>
        <w:gridCol w:w="2371"/>
        <w:gridCol w:w="2200"/>
        <w:gridCol w:w="2210"/>
      </w:tblGrid>
      <w:tr w:rsidR="00E115D9" w:rsidRPr="000918DE" w14:paraId="679C9802" w14:textId="77777777" w:rsidTr="00305B31">
        <w:trPr>
          <w:jc w:val="center"/>
        </w:trPr>
        <w:tc>
          <w:tcPr>
            <w:tcW w:w="1532" w:type="dxa"/>
            <w:shd w:val="clear" w:color="auto" w:fill="000000" w:themeFill="text1"/>
            <w:vAlign w:val="center"/>
          </w:tcPr>
          <w:p w14:paraId="4CD7C7EE" w14:textId="77777777" w:rsidR="00E115D9" w:rsidRPr="00CC03AB" w:rsidRDefault="00E115D9" w:rsidP="00305B31">
            <w:pPr>
              <w:widowControl w:val="0"/>
              <w:rPr>
                <w:rFonts w:ascii="Arial" w:hAnsi="Arial" w:cs="Arial"/>
                <w:b/>
                <w:color w:val="FFFFFF" w:themeColor="background1"/>
                <w:sz w:val="22"/>
                <w:szCs w:val="22"/>
              </w:rPr>
            </w:pPr>
            <w:r w:rsidRPr="00CC03AB">
              <w:rPr>
                <w:rFonts w:ascii="Arial" w:hAnsi="Arial" w:cs="Arial"/>
                <w:b/>
                <w:color w:val="FFFFFF" w:themeColor="background1"/>
                <w:sz w:val="22"/>
                <w:szCs w:val="22"/>
              </w:rPr>
              <w:t>Facility Type</w:t>
            </w:r>
          </w:p>
        </w:tc>
        <w:tc>
          <w:tcPr>
            <w:tcW w:w="1048" w:type="dxa"/>
            <w:shd w:val="clear" w:color="auto" w:fill="000000" w:themeFill="text1"/>
            <w:vAlign w:val="center"/>
          </w:tcPr>
          <w:p w14:paraId="0D1DD30D" w14:textId="77777777" w:rsidR="00E115D9" w:rsidRPr="00CC03AB" w:rsidRDefault="00E115D9" w:rsidP="00305B31">
            <w:pPr>
              <w:widowControl w:val="0"/>
              <w:rPr>
                <w:rFonts w:ascii="Arial" w:hAnsi="Arial" w:cs="Arial"/>
                <w:b/>
                <w:color w:val="FFFFFF" w:themeColor="background1"/>
                <w:sz w:val="22"/>
                <w:szCs w:val="22"/>
              </w:rPr>
            </w:pPr>
            <w:r w:rsidRPr="00CC03AB">
              <w:rPr>
                <w:rFonts w:ascii="Arial" w:hAnsi="Arial" w:cs="Arial"/>
                <w:b/>
                <w:color w:val="FFFFFF" w:themeColor="background1"/>
                <w:sz w:val="22"/>
                <w:szCs w:val="22"/>
              </w:rPr>
              <w:t>Material Type</w:t>
            </w:r>
          </w:p>
        </w:tc>
        <w:tc>
          <w:tcPr>
            <w:tcW w:w="2371" w:type="dxa"/>
            <w:shd w:val="clear" w:color="auto" w:fill="000000" w:themeFill="text1"/>
            <w:vAlign w:val="center"/>
          </w:tcPr>
          <w:p w14:paraId="4C36482E" w14:textId="77777777" w:rsidR="00E115D9" w:rsidRPr="00CC03AB" w:rsidRDefault="00E115D9" w:rsidP="00305B31">
            <w:pPr>
              <w:widowControl w:val="0"/>
              <w:rPr>
                <w:rFonts w:ascii="Arial" w:hAnsi="Arial" w:cs="Arial"/>
                <w:b/>
                <w:color w:val="FFFFFF" w:themeColor="background1"/>
                <w:sz w:val="22"/>
                <w:szCs w:val="22"/>
              </w:rPr>
            </w:pPr>
            <w:r w:rsidRPr="00CC03AB">
              <w:rPr>
                <w:rFonts w:ascii="Arial" w:hAnsi="Arial" w:cs="Arial"/>
                <w:b/>
                <w:color w:val="FFFFFF" w:themeColor="background1"/>
                <w:sz w:val="22"/>
                <w:szCs w:val="22"/>
              </w:rPr>
              <w:t>Customer Type</w:t>
            </w:r>
          </w:p>
        </w:tc>
        <w:tc>
          <w:tcPr>
            <w:tcW w:w="2200" w:type="dxa"/>
            <w:shd w:val="clear" w:color="auto" w:fill="000000" w:themeFill="text1"/>
            <w:vAlign w:val="center"/>
          </w:tcPr>
          <w:p w14:paraId="597BD7DD" w14:textId="77777777" w:rsidR="00E115D9" w:rsidRPr="00CC03AB" w:rsidRDefault="00E115D9" w:rsidP="00305B31">
            <w:pPr>
              <w:widowControl w:val="0"/>
              <w:rPr>
                <w:rFonts w:ascii="Arial" w:hAnsi="Arial" w:cs="Arial"/>
                <w:b/>
                <w:color w:val="FFFFFF" w:themeColor="background1"/>
                <w:sz w:val="22"/>
                <w:szCs w:val="22"/>
              </w:rPr>
            </w:pPr>
            <w:r w:rsidRPr="00CC03AB">
              <w:rPr>
                <w:rFonts w:ascii="Arial" w:hAnsi="Arial" w:cs="Arial"/>
                <w:b/>
                <w:color w:val="FFFFFF" w:themeColor="background1"/>
                <w:sz w:val="22"/>
                <w:szCs w:val="22"/>
              </w:rPr>
              <w:t>Current Fee</w:t>
            </w:r>
          </w:p>
        </w:tc>
        <w:tc>
          <w:tcPr>
            <w:tcW w:w="2210" w:type="dxa"/>
            <w:shd w:val="clear" w:color="auto" w:fill="000000" w:themeFill="text1"/>
            <w:vAlign w:val="center"/>
          </w:tcPr>
          <w:p w14:paraId="7F151A3D" w14:textId="77777777" w:rsidR="00E115D9" w:rsidRPr="00CC03AB" w:rsidRDefault="00E115D9" w:rsidP="00305B31">
            <w:pPr>
              <w:widowControl w:val="0"/>
              <w:rPr>
                <w:rFonts w:ascii="Arial" w:hAnsi="Arial" w:cs="Arial"/>
                <w:b/>
                <w:color w:val="FFFFFF" w:themeColor="background1"/>
                <w:sz w:val="22"/>
                <w:szCs w:val="22"/>
              </w:rPr>
            </w:pPr>
            <w:r w:rsidRPr="00CC03AB">
              <w:rPr>
                <w:rFonts w:ascii="Arial" w:hAnsi="Arial" w:cs="Arial"/>
                <w:b/>
                <w:color w:val="FFFFFF" w:themeColor="background1"/>
                <w:sz w:val="22"/>
                <w:szCs w:val="22"/>
              </w:rPr>
              <w:t>Fee Proposed by PO 2021-0449</w:t>
            </w:r>
          </w:p>
        </w:tc>
      </w:tr>
      <w:tr w:rsidR="00E115D9" w:rsidRPr="000918DE" w14:paraId="2E1FB25F" w14:textId="77777777" w:rsidTr="00305B31">
        <w:trPr>
          <w:jc w:val="center"/>
        </w:trPr>
        <w:tc>
          <w:tcPr>
            <w:tcW w:w="1532" w:type="dxa"/>
            <w:vMerge w:val="restart"/>
            <w:vAlign w:val="center"/>
          </w:tcPr>
          <w:p w14:paraId="7D807CAF"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 xml:space="preserve">Fees for use of solid waste facilities </w:t>
            </w:r>
            <w:r w:rsidRPr="00CC03AB">
              <w:rPr>
                <w:rFonts w:ascii="Arial" w:hAnsi="Arial" w:cs="Arial"/>
                <w:b/>
                <w:sz w:val="22"/>
                <w:szCs w:val="22"/>
                <w:u w:val="single"/>
              </w:rPr>
              <w:t>with</w:t>
            </w:r>
            <w:r w:rsidRPr="00CC03AB">
              <w:rPr>
                <w:rFonts w:ascii="Arial" w:hAnsi="Arial" w:cs="Arial"/>
                <w:b/>
                <w:sz w:val="22"/>
                <w:szCs w:val="22"/>
              </w:rPr>
              <w:t xml:space="preserve"> scales, except Cedar Hills</w:t>
            </w:r>
          </w:p>
        </w:tc>
        <w:tc>
          <w:tcPr>
            <w:tcW w:w="1048" w:type="dxa"/>
            <w:vMerge w:val="restart"/>
            <w:vAlign w:val="center"/>
          </w:tcPr>
          <w:p w14:paraId="453C3E5C"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Solid Waste</w:t>
            </w:r>
          </w:p>
        </w:tc>
        <w:tc>
          <w:tcPr>
            <w:tcW w:w="2371" w:type="dxa"/>
            <w:shd w:val="clear" w:color="auto" w:fill="auto"/>
            <w:vAlign w:val="center"/>
          </w:tcPr>
          <w:p w14:paraId="333121C5"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Fixed-rate vehicles</w:t>
            </w:r>
            <w:r w:rsidRPr="00CC03AB">
              <w:rPr>
                <w:rStyle w:val="FootnoteReference"/>
                <w:rFonts w:ascii="Arial" w:hAnsi="Arial" w:cs="Arial"/>
                <w:sz w:val="22"/>
                <w:szCs w:val="22"/>
              </w:rPr>
              <w:footnoteReference w:id="14"/>
            </w:r>
          </w:p>
          <w:p w14:paraId="7EE94DF1"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 xml:space="preserve">(e.g., hatchback or sedan) </w:t>
            </w:r>
          </w:p>
        </w:tc>
        <w:tc>
          <w:tcPr>
            <w:tcW w:w="2200" w:type="dxa"/>
            <w:shd w:val="clear" w:color="auto" w:fill="auto"/>
            <w:vAlign w:val="center"/>
          </w:tcPr>
          <w:p w14:paraId="57600C69"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$24.64 per entry</w:t>
            </w:r>
          </w:p>
        </w:tc>
        <w:tc>
          <w:tcPr>
            <w:tcW w:w="2210" w:type="dxa"/>
            <w:vAlign w:val="center"/>
          </w:tcPr>
          <w:p w14:paraId="1AC90DB6"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$24.54 per entry</w:t>
            </w:r>
          </w:p>
        </w:tc>
      </w:tr>
      <w:tr w:rsidR="00E115D9" w:rsidRPr="000918DE" w14:paraId="2D77B542" w14:textId="77777777" w:rsidTr="00305B31">
        <w:trPr>
          <w:trHeight w:val="328"/>
          <w:jc w:val="center"/>
        </w:trPr>
        <w:tc>
          <w:tcPr>
            <w:tcW w:w="1532" w:type="dxa"/>
            <w:vMerge/>
            <w:vAlign w:val="center"/>
          </w:tcPr>
          <w:p w14:paraId="110AA348" w14:textId="77777777" w:rsidR="00E115D9" w:rsidRPr="00CC03AB" w:rsidRDefault="00E115D9" w:rsidP="00305B31">
            <w:pPr>
              <w:widowControl w:val="0"/>
              <w:rPr>
                <w:rFonts w:ascii="Arial" w:hAnsi="Arial" w:cs="Arial"/>
                <w:sz w:val="22"/>
                <w:szCs w:val="22"/>
              </w:rPr>
            </w:pPr>
          </w:p>
        </w:tc>
        <w:tc>
          <w:tcPr>
            <w:tcW w:w="1048" w:type="dxa"/>
            <w:vMerge/>
            <w:vAlign w:val="center"/>
          </w:tcPr>
          <w:p w14:paraId="6026C08B" w14:textId="77777777" w:rsidR="00E115D9" w:rsidRPr="00CC03AB" w:rsidRDefault="00E115D9" w:rsidP="00305B31">
            <w:pPr>
              <w:widowControl w:val="0"/>
              <w:rPr>
                <w:rFonts w:ascii="Arial" w:hAnsi="Arial" w:cs="Arial"/>
                <w:sz w:val="22"/>
                <w:szCs w:val="22"/>
              </w:rPr>
            </w:pPr>
          </w:p>
        </w:tc>
        <w:tc>
          <w:tcPr>
            <w:tcW w:w="2371" w:type="dxa"/>
            <w:vMerge w:val="restart"/>
            <w:shd w:val="clear" w:color="auto" w:fill="auto"/>
            <w:vAlign w:val="center"/>
          </w:tcPr>
          <w:p w14:paraId="49B587F6" w14:textId="77777777" w:rsidR="00E115D9" w:rsidRPr="00CC03AB" w:rsidRDefault="00E115D9" w:rsidP="00305B31">
            <w:pPr>
              <w:widowControl w:val="0"/>
              <w:rPr>
                <w:rFonts w:ascii="Arial" w:hAnsi="Arial" w:cs="Arial"/>
                <w:b/>
                <w:bCs/>
                <w:sz w:val="22"/>
                <w:szCs w:val="22"/>
              </w:rPr>
            </w:pPr>
            <w:r w:rsidRPr="00CC03AB">
              <w:rPr>
                <w:rFonts w:ascii="Arial" w:hAnsi="Arial" w:cs="Arial"/>
                <w:sz w:val="22"/>
                <w:szCs w:val="22"/>
              </w:rPr>
              <w:t>Per-ton-rate vehicles</w:t>
            </w:r>
          </w:p>
          <w:p w14:paraId="542DBEAF"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(e.g., minivans, wagons, SUVs, trucks)</w:t>
            </w:r>
            <w:r w:rsidRPr="00CC03AB">
              <w:rPr>
                <w:rStyle w:val="FootnoteReference"/>
                <w:rFonts w:ascii="Arial" w:hAnsi="Arial" w:cs="Arial"/>
                <w:sz w:val="22"/>
                <w:szCs w:val="22"/>
              </w:rPr>
              <w:footnoteReference w:id="15"/>
            </w:r>
            <w:r w:rsidRPr="00CC03AB">
              <w:rPr>
                <w:rFonts w:ascii="Arial" w:hAnsi="Arial" w:cs="Arial"/>
                <w:sz w:val="22"/>
                <w:szCs w:val="22"/>
              </w:rPr>
              <w:t xml:space="preserve"> </w:t>
            </w:r>
          </w:p>
        </w:tc>
        <w:tc>
          <w:tcPr>
            <w:tcW w:w="2200" w:type="dxa"/>
            <w:vMerge w:val="restart"/>
            <w:shd w:val="clear" w:color="auto" w:fill="auto"/>
            <w:vAlign w:val="center"/>
          </w:tcPr>
          <w:p w14:paraId="79F92300"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$154.02 per ton</w:t>
            </w:r>
          </w:p>
        </w:tc>
        <w:tc>
          <w:tcPr>
            <w:tcW w:w="2210" w:type="dxa"/>
            <w:shd w:val="clear" w:color="auto" w:fill="F2DBDB" w:themeFill="accent2" w:themeFillTint="33"/>
            <w:vAlign w:val="center"/>
          </w:tcPr>
          <w:p w14:paraId="65C0B8A0"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Commercial hauler: $123.82 per ton</w:t>
            </w:r>
          </w:p>
        </w:tc>
      </w:tr>
      <w:tr w:rsidR="00E115D9" w:rsidRPr="000918DE" w14:paraId="68EA4422" w14:textId="77777777" w:rsidTr="00305B31">
        <w:trPr>
          <w:trHeight w:val="327"/>
          <w:jc w:val="center"/>
        </w:trPr>
        <w:tc>
          <w:tcPr>
            <w:tcW w:w="1532" w:type="dxa"/>
            <w:vMerge/>
            <w:vAlign w:val="center"/>
          </w:tcPr>
          <w:p w14:paraId="6471645D" w14:textId="77777777" w:rsidR="00E115D9" w:rsidRPr="00CC03AB" w:rsidRDefault="00E115D9" w:rsidP="00305B31">
            <w:pPr>
              <w:widowControl w:val="0"/>
              <w:rPr>
                <w:rFonts w:ascii="Arial" w:hAnsi="Arial" w:cs="Arial"/>
                <w:sz w:val="22"/>
                <w:szCs w:val="22"/>
              </w:rPr>
            </w:pPr>
          </w:p>
        </w:tc>
        <w:tc>
          <w:tcPr>
            <w:tcW w:w="1048" w:type="dxa"/>
            <w:vMerge/>
            <w:vAlign w:val="center"/>
          </w:tcPr>
          <w:p w14:paraId="6D24373F" w14:textId="77777777" w:rsidR="00E115D9" w:rsidRPr="00CC03AB" w:rsidRDefault="00E115D9" w:rsidP="00305B31">
            <w:pPr>
              <w:widowControl w:val="0"/>
              <w:rPr>
                <w:rFonts w:ascii="Arial" w:hAnsi="Arial" w:cs="Arial"/>
                <w:sz w:val="22"/>
                <w:szCs w:val="22"/>
              </w:rPr>
            </w:pPr>
          </w:p>
        </w:tc>
        <w:tc>
          <w:tcPr>
            <w:tcW w:w="2371" w:type="dxa"/>
            <w:vMerge/>
            <w:shd w:val="clear" w:color="auto" w:fill="auto"/>
            <w:vAlign w:val="center"/>
          </w:tcPr>
          <w:p w14:paraId="21686892" w14:textId="77777777" w:rsidR="00E115D9" w:rsidRPr="00CC03AB" w:rsidRDefault="00E115D9" w:rsidP="00305B31">
            <w:pPr>
              <w:widowControl w:val="0"/>
              <w:rPr>
                <w:rFonts w:ascii="Arial" w:hAnsi="Arial" w:cs="Arial"/>
                <w:sz w:val="22"/>
                <w:szCs w:val="22"/>
              </w:rPr>
            </w:pPr>
          </w:p>
        </w:tc>
        <w:tc>
          <w:tcPr>
            <w:tcW w:w="2200" w:type="dxa"/>
            <w:vMerge/>
            <w:shd w:val="clear" w:color="auto" w:fill="auto"/>
            <w:vAlign w:val="center"/>
          </w:tcPr>
          <w:p w14:paraId="3D80661B" w14:textId="77777777" w:rsidR="00E115D9" w:rsidRPr="00CC03AB" w:rsidRDefault="00E115D9" w:rsidP="00305B31">
            <w:pPr>
              <w:widowControl w:val="0"/>
              <w:rPr>
                <w:rFonts w:ascii="Arial" w:hAnsi="Arial" w:cs="Arial"/>
                <w:sz w:val="22"/>
                <w:szCs w:val="22"/>
              </w:rPr>
            </w:pPr>
          </w:p>
        </w:tc>
        <w:tc>
          <w:tcPr>
            <w:tcW w:w="2210" w:type="dxa"/>
            <w:vAlign w:val="center"/>
          </w:tcPr>
          <w:p w14:paraId="01D9F513"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Self-hauler:</w:t>
            </w:r>
          </w:p>
          <w:p w14:paraId="219B9686"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$153.37 per ton</w:t>
            </w:r>
          </w:p>
        </w:tc>
      </w:tr>
      <w:tr w:rsidR="00E115D9" w:rsidRPr="000918DE" w14:paraId="713AC176" w14:textId="77777777" w:rsidTr="00305B31">
        <w:trPr>
          <w:jc w:val="center"/>
        </w:trPr>
        <w:tc>
          <w:tcPr>
            <w:tcW w:w="1532" w:type="dxa"/>
            <w:vMerge/>
            <w:vAlign w:val="center"/>
          </w:tcPr>
          <w:p w14:paraId="7E44B8B2" w14:textId="77777777" w:rsidR="00E115D9" w:rsidRPr="00CC03AB" w:rsidRDefault="00E115D9" w:rsidP="00305B31">
            <w:pPr>
              <w:widowControl w:val="0"/>
              <w:rPr>
                <w:rFonts w:ascii="Arial" w:hAnsi="Arial" w:cs="Arial"/>
                <w:sz w:val="22"/>
                <w:szCs w:val="22"/>
              </w:rPr>
            </w:pPr>
          </w:p>
        </w:tc>
        <w:tc>
          <w:tcPr>
            <w:tcW w:w="1048" w:type="dxa"/>
            <w:vMerge/>
            <w:vAlign w:val="center"/>
          </w:tcPr>
          <w:p w14:paraId="2D6E7788" w14:textId="77777777" w:rsidR="00E115D9" w:rsidRPr="00CC03AB" w:rsidRDefault="00E115D9" w:rsidP="00305B31">
            <w:pPr>
              <w:widowControl w:val="0"/>
              <w:rPr>
                <w:rFonts w:ascii="Arial" w:hAnsi="Arial" w:cs="Arial"/>
                <w:sz w:val="22"/>
                <w:szCs w:val="22"/>
              </w:rPr>
            </w:pPr>
          </w:p>
        </w:tc>
        <w:tc>
          <w:tcPr>
            <w:tcW w:w="2371" w:type="dxa"/>
            <w:vAlign w:val="center"/>
          </w:tcPr>
          <w:p w14:paraId="01EC616B"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Charitable organizations</w:t>
            </w:r>
          </w:p>
        </w:tc>
        <w:tc>
          <w:tcPr>
            <w:tcW w:w="2200" w:type="dxa"/>
            <w:vAlign w:val="center"/>
          </w:tcPr>
          <w:p w14:paraId="64620482"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$118.60 per ton</w:t>
            </w:r>
          </w:p>
        </w:tc>
        <w:tc>
          <w:tcPr>
            <w:tcW w:w="2210" w:type="dxa"/>
            <w:vAlign w:val="center"/>
          </w:tcPr>
          <w:p w14:paraId="1F53E9BD"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$118.09 per ton</w:t>
            </w:r>
          </w:p>
        </w:tc>
      </w:tr>
      <w:tr w:rsidR="00E115D9" w:rsidRPr="000918DE" w14:paraId="7C3D2CE4" w14:textId="77777777" w:rsidTr="00305B31">
        <w:trPr>
          <w:jc w:val="center"/>
        </w:trPr>
        <w:tc>
          <w:tcPr>
            <w:tcW w:w="1532" w:type="dxa"/>
            <w:vMerge/>
            <w:vAlign w:val="center"/>
          </w:tcPr>
          <w:p w14:paraId="761CC8D8" w14:textId="77777777" w:rsidR="00E115D9" w:rsidRPr="00CC03AB" w:rsidRDefault="00E115D9" w:rsidP="00305B31">
            <w:pPr>
              <w:widowControl w:val="0"/>
              <w:rPr>
                <w:rFonts w:ascii="Arial" w:hAnsi="Arial" w:cs="Arial"/>
                <w:sz w:val="22"/>
                <w:szCs w:val="22"/>
              </w:rPr>
            </w:pPr>
          </w:p>
        </w:tc>
        <w:tc>
          <w:tcPr>
            <w:tcW w:w="1048" w:type="dxa"/>
            <w:vMerge/>
            <w:vAlign w:val="center"/>
          </w:tcPr>
          <w:p w14:paraId="495205C6" w14:textId="77777777" w:rsidR="00E115D9" w:rsidRPr="00CC03AB" w:rsidRDefault="00E115D9" w:rsidP="00305B31">
            <w:pPr>
              <w:widowControl w:val="0"/>
              <w:rPr>
                <w:rFonts w:ascii="Arial" w:hAnsi="Arial" w:cs="Arial"/>
                <w:sz w:val="22"/>
                <w:szCs w:val="22"/>
              </w:rPr>
            </w:pPr>
          </w:p>
        </w:tc>
        <w:tc>
          <w:tcPr>
            <w:tcW w:w="2371" w:type="dxa"/>
            <w:vAlign w:val="center"/>
          </w:tcPr>
          <w:p w14:paraId="6AB447C8"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Minimum (less than 320 lbs.)</w:t>
            </w:r>
          </w:p>
        </w:tc>
        <w:tc>
          <w:tcPr>
            <w:tcW w:w="2200" w:type="dxa"/>
            <w:vAlign w:val="center"/>
          </w:tcPr>
          <w:p w14:paraId="2132AF1B"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$24.64 per vehicle</w:t>
            </w:r>
          </w:p>
        </w:tc>
        <w:tc>
          <w:tcPr>
            <w:tcW w:w="2210" w:type="dxa"/>
            <w:vAlign w:val="center"/>
          </w:tcPr>
          <w:p w14:paraId="3074646B" w14:textId="736C150D" w:rsidR="00E115D9" w:rsidRPr="00CC03AB" w:rsidRDefault="00E115D9" w:rsidP="00305B31">
            <w:pPr>
              <w:widowControl w:val="0"/>
              <w:rPr>
                <w:rFonts w:ascii="Arial" w:hAnsi="Arial" w:cs="Arial"/>
                <w:sz w:val="22"/>
                <w:szCs w:val="22"/>
              </w:rPr>
            </w:pPr>
            <w:r w:rsidRPr="00CC03AB">
              <w:rPr>
                <w:rFonts w:ascii="Arial" w:hAnsi="Arial" w:cs="Arial"/>
                <w:sz w:val="22"/>
                <w:szCs w:val="22"/>
              </w:rPr>
              <w:t>$2</w:t>
            </w:r>
            <w:r w:rsidR="005B68FF">
              <w:rPr>
                <w:rFonts w:ascii="Arial" w:hAnsi="Arial" w:cs="Arial"/>
                <w:sz w:val="22"/>
                <w:szCs w:val="22"/>
              </w:rPr>
              <w:t>4</w:t>
            </w:r>
            <w:r w:rsidRPr="00CC03AB">
              <w:rPr>
                <w:rFonts w:ascii="Arial" w:hAnsi="Arial" w:cs="Arial"/>
                <w:sz w:val="22"/>
                <w:szCs w:val="22"/>
              </w:rPr>
              <w:t>.54 per entry</w:t>
            </w:r>
          </w:p>
        </w:tc>
      </w:tr>
      <w:tr w:rsidR="00E115D9" w:rsidRPr="000918DE" w14:paraId="09D1C328" w14:textId="77777777" w:rsidTr="00305B31">
        <w:trPr>
          <w:jc w:val="center"/>
        </w:trPr>
        <w:tc>
          <w:tcPr>
            <w:tcW w:w="1532" w:type="dxa"/>
            <w:vMerge/>
            <w:vAlign w:val="center"/>
          </w:tcPr>
          <w:p w14:paraId="51F026BB" w14:textId="77777777" w:rsidR="00E115D9" w:rsidRPr="00CC03AB" w:rsidRDefault="00E115D9" w:rsidP="00305B31">
            <w:pPr>
              <w:widowControl w:val="0"/>
              <w:rPr>
                <w:rFonts w:ascii="Arial" w:hAnsi="Arial" w:cs="Arial"/>
                <w:sz w:val="22"/>
                <w:szCs w:val="22"/>
              </w:rPr>
            </w:pPr>
          </w:p>
        </w:tc>
        <w:tc>
          <w:tcPr>
            <w:tcW w:w="1048" w:type="dxa"/>
            <w:vMerge/>
            <w:vAlign w:val="center"/>
          </w:tcPr>
          <w:p w14:paraId="050AB02D" w14:textId="77777777" w:rsidR="00E115D9" w:rsidRPr="00CC03AB" w:rsidRDefault="00E115D9" w:rsidP="00305B31">
            <w:pPr>
              <w:widowControl w:val="0"/>
              <w:rPr>
                <w:rFonts w:ascii="Arial" w:hAnsi="Arial" w:cs="Arial"/>
                <w:sz w:val="22"/>
                <w:szCs w:val="22"/>
              </w:rPr>
            </w:pPr>
          </w:p>
        </w:tc>
        <w:tc>
          <w:tcPr>
            <w:tcW w:w="2371" w:type="dxa"/>
            <w:vAlign w:val="center"/>
          </w:tcPr>
          <w:p w14:paraId="06155278"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Charitable organizations -  minimum charge</w:t>
            </w:r>
          </w:p>
        </w:tc>
        <w:tc>
          <w:tcPr>
            <w:tcW w:w="2200" w:type="dxa"/>
            <w:vAlign w:val="center"/>
          </w:tcPr>
          <w:p w14:paraId="7B0967D5"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$18.89 per entry</w:t>
            </w:r>
          </w:p>
        </w:tc>
        <w:tc>
          <w:tcPr>
            <w:tcW w:w="2210" w:type="dxa"/>
            <w:vAlign w:val="center"/>
          </w:tcPr>
          <w:p w14:paraId="32E156F5"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$18.90 per entry</w:t>
            </w:r>
          </w:p>
        </w:tc>
      </w:tr>
      <w:tr w:rsidR="00E115D9" w14:paraId="2D6D6D1F" w14:textId="77777777" w:rsidTr="00305B31">
        <w:trPr>
          <w:trHeight w:val="585"/>
          <w:jc w:val="center"/>
        </w:trPr>
        <w:tc>
          <w:tcPr>
            <w:tcW w:w="1532" w:type="dxa"/>
            <w:vMerge w:val="restart"/>
            <w:tcBorders>
              <w:top w:val="single" w:sz="18" w:space="0" w:color="auto"/>
            </w:tcBorders>
            <w:vAlign w:val="center"/>
          </w:tcPr>
          <w:p w14:paraId="4F389A51"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 xml:space="preserve">Fees for use of solid waste facilities </w:t>
            </w:r>
            <w:r w:rsidRPr="00CC03AB">
              <w:rPr>
                <w:rFonts w:ascii="Arial" w:hAnsi="Arial" w:cs="Arial"/>
                <w:b/>
                <w:sz w:val="22"/>
                <w:szCs w:val="22"/>
                <w:u w:val="single"/>
              </w:rPr>
              <w:t>without</w:t>
            </w:r>
            <w:r w:rsidRPr="00CC03AB">
              <w:rPr>
                <w:rFonts w:ascii="Arial" w:hAnsi="Arial" w:cs="Arial"/>
                <w:b/>
                <w:sz w:val="22"/>
                <w:szCs w:val="22"/>
              </w:rPr>
              <w:t xml:space="preserve"> scales </w:t>
            </w:r>
          </w:p>
          <w:p w14:paraId="4984E586"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(based on cubic yard or fraction thereof)</w:t>
            </w:r>
          </w:p>
        </w:tc>
        <w:tc>
          <w:tcPr>
            <w:tcW w:w="1048" w:type="dxa"/>
            <w:vMerge w:val="restart"/>
            <w:tcBorders>
              <w:top w:val="single" w:sz="18" w:space="0" w:color="auto"/>
            </w:tcBorders>
            <w:vAlign w:val="center"/>
          </w:tcPr>
          <w:p w14:paraId="0A662631"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Solid Waste</w:t>
            </w:r>
          </w:p>
        </w:tc>
        <w:tc>
          <w:tcPr>
            <w:tcW w:w="2371" w:type="dxa"/>
            <w:tcBorders>
              <w:top w:val="single" w:sz="18" w:space="0" w:color="auto"/>
            </w:tcBorders>
            <w:vAlign w:val="center"/>
          </w:tcPr>
          <w:p w14:paraId="0BD3D77B"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Fixed-rate vehicles</w:t>
            </w:r>
          </w:p>
        </w:tc>
        <w:tc>
          <w:tcPr>
            <w:tcW w:w="2200" w:type="dxa"/>
            <w:tcBorders>
              <w:top w:val="single" w:sz="18" w:space="0" w:color="auto"/>
            </w:tcBorders>
            <w:vAlign w:val="center"/>
          </w:tcPr>
          <w:p w14:paraId="58FE4D91"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$24.64 per entry</w:t>
            </w:r>
          </w:p>
        </w:tc>
        <w:tc>
          <w:tcPr>
            <w:tcW w:w="2210" w:type="dxa"/>
            <w:tcBorders>
              <w:top w:val="single" w:sz="18" w:space="0" w:color="auto"/>
            </w:tcBorders>
            <w:vAlign w:val="center"/>
          </w:tcPr>
          <w:p w14:paraId="2EF2A33F"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$24.54 per entry</w:t>
            </w:r>
          </w:p>
        </w:tc>
      </w:tr>
      <w:tr w:rsidR="00E115D9" w14:paraId="76B2A5EC" w14:textId="77777777" w:rsidTr="00305B31">
        <w:trPr>
          <w:jc w:val="center"/>
        </w:trPr>
        <w:tc>
          <w:tcPr>
            <w:tcW w:w="1532" w:type="dxa"/>
            <w:vMerge/>
            <w:vAlign w:val="center"/>
          </w:tcPr>
          <w:p w14:paraId="5A0011CE" w14:textId="77777777" w:rsidR="00E115D9" w:rsidRPr="00CC03AB" w:rsidRDefault="00E115D9" w:rsidP="00305B31">
            <w:pPr>
              <w:widowControl w:val="0"/>
              <w:rPr>
                <w:rFonts w:ascii="Arial" w:hAnsi="Arial" w:cs="Arial"/>
                <w:b/>
                <w:sz w:val="22"/>
                <w:szCs w:val="22"/>
              </w:rPr>
            </w:pPr>
          </w:p>
        </w:tc>
        <w:tc>
          <w:tcPr>
            <w:tcW w:w="1048" w:type="dxa"/>
            <w:vMerge/>
            <w:vAlign w:val="center"/>
          </w:tcPr>
          <w:p w14:paraId="4FB7F9FB" w14:textId="77777777" w:rsidR="00E115D9" w:rsidRPr="00CC03AB" w:rsidRDefault="00E115D9" w:rsidP="00305B31">
            <w:pPr>
              <w:widowControl w:val="0"/>
              <w:rPr>
                <w:rFonts w:ascii="Arial" w:hAnsi="Arial" w:cs="Arial"/>
                <w:b/>
                <w:sz w:val="22"/>
                <w:szCs w:val="22"/>
              </w:rPr>
            </w:pPr>
          </w:p>
        </w:tc>
        <w:tc>
          <w:tcPr>
            <w:tcW w:w="2371" w:type="dxa"/>
            <w:vAlign w:val="center"/>
          </w:tcPr>
          <w:p w14:paraId="5FFDEC78"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Per-ton-rate vehicles</w:t>
            </w:r>
          </w:p>
          <w:p w14:paraId="2B65B314" w14:textId="77777777" w:rsidR="00E115D9" w:rsidRPr="00CC03AB" w:rsidRDefault="00E115D9" w:rsidP="00305B31">
            <w:pPr>
              <w:widowControl w:val="0"/>
              <w:rPr>
                <w:rFonts w:ascii="Arial" w:hAnsi="Arial" w:cs="Arial"/>
                <w:sz w:val="22"/>
                <w:szCs w:val="22"/>
              </w:rPr>
            </w:pPr>
          </w:p>
        </w:tc>
        <w:tc>
          <w:tcPr>
            <w:tcW w:w="2200" w:type="dxa"/>
            <w:vAlign w:val="center"/>
          </w:tcPr>
          <w:p w14:paraId="7793C6ED"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Compacted: $44.67 per cubic yard</w:t>
            </w:r>
          </w:p>
          <w:p w14:paraId="7B4368EE" w14:textId="77777777" w:rsidR="00E115D9" w:rsidRPr="00CC03AB" w:rsidRDefault="00E115D9" w:rsidP="00305B31">
            <w:pPr>
              <w:widowControl w:val="0"/>
              <w:rPr>
                <w:rFonts w:ascii="Arial" w:hAnsi="Arial" w:cs="Arial"/>
                <w:sz w:val="22"/>
                <w:szCs w:val="22"/>
              </w:rPr>
            </w:pPr>
          </w:p>
          <w:p w14:paraId="641D75F5"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Uncompacted: $26.18 per vehicle</w:t>
            </w:r>
          </w:p>
        </w:tc>
        <w:tc>
          <w:tcPr>
            <w:tcW w:w="2210" w:type="dxa"/>
            <w:vAlign w:val="center"/>
          </w:tcPr>
          <w:p w14:paraId="59432FD0"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Compacted: $44.48 per cubic yard</w:t>
            </w:r>
          </w:p>
          <w:p w14:paraId="018E296A" w14:textId="77777777" w:rsidR="00E115D9" w:rsidRPr="00CC03AB" w:rsidRDefault="00E115D9" w:rsidP="00305B31">
            <w:pPr>
              <w:widowControl w:val="0"/>
              <w:rPr>
                <w:rFonts w:ascii="Arial" w:hAnsi="Arial" w:cs="Arial"/>
                <w:sz w:val="22"/>
                <w:szCs w:val="22"/>
              </w:rPr>
            </w:pPr>
          </w:p>
          <w:p w14:paraId="45D77BBC"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Uncompacted: $26.07 per vehicle</w:t>
            </w:r>
          </w:p>
        </w:tc>
      </w:tr>
      <w:tr w:rsidR="00E115D9" w14:paraId="214EA5DE" w14:textId="77777777" w:rsidTr="00305B31">
        <w:trPr>
          <w:jc w:val="center"/>
        </w:trPr>
        <w:tc>
          <w:tcPr>
            <w:tcW w:w="1532" w:type="dxa"/>
            <w:vMerge/>
            <w:vAlign w:val="center"/>
          </w:tcPr>
          <w:p w14:paraId="3E94571B" w14:textId="77777777" w:rsidR="00E115D9" w:rsidRPr="00CC03AB" w:rsidRDefault="00E115D9" w:rsidP="00305B31">
            <w:pPr>
              <w:widowControl w:val="0"/>
              <w:rPr>
                <w:rFonts w:ascii="Arial" w:hAnsi="Arial" w:cs="Arial"/>
                <w:b/>
                <w:sz w:val="22"/>
                <w:szCs w:val="22"/>
              </w:rPr>
            </w:pPr>
          </w:p>
        </w:tc>
        <w:tc>
          <w:tcPr>
            <w:tcW w:w="1048" w:type="dxa"/>
            <w:vMerge/>
            <w:vAlign w:val="center"/>
          </w:tcPr>
          <w:p w14:paraId="5BDE70C3" w14:textId="77777777" w:rsidR="00E115D9" w:rsidRPr="00CC03AB" w:rsidRDefault="00E115D9" w:rsidP="00305B31">
            <w:pPr>
              <w:widowControl w:val="0"/>
              <w:rPr>
                <w:rFonts w:ascii="Arial" w:hAnsi="Arial" w:cs="Arial"/>
                <w:b/>
                <w:sz w:val="22"/>
                <w:szCs w:val="22"/>
              </w:rPr>
            </w:pPr>
          </w:p>
        </w:tc>
        <w:tc>
          <w:tcPr>
            <w:tcW w:w="2371" w:type="dxa"/>
            <w:vAlign w:val="center"/>
          </w:tcPr>
          <w:p w14:paraId="7F98CD64" w14:textId="51BBB940" w:rsidR="00E115D9" w:rsidRPr="00CC03AB" w:rsidRDefault="00E115D9" w:rsidP="00305B31">
            <w:pPr>
              <w:widowControl w:val="0"/>
              <w:rPr>
                <w:rFonts w:ascii="Arial" w:hAnsi="Arial" w:cs="Arial"/>
                <w:sz w:val="22"/>
                <w:szCs w:val="22"/>
              </w:rPr>
            </w:pPr>
            <w:r w:rsidRPr="00CC03AB">
              <w:rPr>
                <w:rFonts w:ascii="Arial" w:hAnsi="Arial" w:cs="Arial"/>
                <w:sz w:val="22"/>
                <w:szCs w:val="22"/>
              </w:rPr>
              <w:t xml:space="preserve">Minimum </w:t>
            </w:r>
            <w:r w:rsidR="00305B31">
              <w:rPr>
                <w:rFonts w:ascii="Arial" w:hAnsi="Arial" w:cs="Arial"/>
                <w:sz w:val="22"/>
                <w:szCs w:val="22"/>
              </w:rPr>
              <w:t>(less than 320 lbs.)</w:t>
            </w:r>
          </w:p>
        </w:tc>
        <w:tc>
          <w:tcPr>
            <w:tcW w:w="2200" w:type="dxa"/>
            <w:vAlign w:val="center"/>
          </w:tcPr>
          <w:p w14:paraId="240C6C64"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$24.64 per vehicle</w:t>
            </w:r>
          </w:p>
        </w:tc>
        <w:tc>
          <w:tcPr>
            <w:tcW w:w="2210" w:type="dxa"/>
            <w:vAlign w:val="center"/>
          </w:tcPr>
          <w:p w14:paraId="0BA703EF"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$24.54 per vehicle</w:t>
            </w:r>
          </w:p>
        </w:tc>
      </w:tr>
      <w:tr w:rsidR="00E115D9" w14:paraId="0B3F1617" w14:textId="77777777" w:rsidTr="00305B31">
        <w:trPr>
          <w:trHeight w:val="220"/>
          <w:jc w:val="center"/>
        </w:trPr>
        <w:tc>
          <w:tcPr>
            <w:tcW w:w="2580" w:type="dxa"/>
            <w:gridSpan w:val="2"/>
            <w:vMerge w:val="restart"/>
            <w:tcBorders>
              <w:top w:val="single" w:sz="18" w:space="0" w:color="auto"/>
            </w:tcBorders>
            <w:vAlign w:val="center"/>
          </w:tcPr>
          <w:p w14:paraId="2A71EBE2" w14:textId="77777777" w:rsidR="00E115D9" w:rsidRPr="00CC03AB" w:rsidRDefault="00E115D9" w:rsidP="00305B31">
            <w:pPr>
              <w:widowControl w:val="0"/>
              <w:rPr>
                <w:rFonts w:ascii="Arial" w:hAnsi="Arial" w:cs="Arial"/>
                <w:b/>
                <w:sz w:val="22"/>
                <w:szCs w:val="22"/>
              </w:rPr>
            </w:pPr>
            <w:r w:rsidRPr="00CC03AB">
              <w:rPr>
                <w:rFonts w:ascii="Arial" w:hAnsi="Arial" w:cs="Arial"/>
                <w:b/>
                <w:sz w:val="22"/>
                <w:szCs w:val="22"/>
              </w:rPr>
              <w:t>Fees at Cedar Hills Regional Landfill</w:t>
            </w:r>
          </w:p>
        </w:tc>
        <w:tc>
          <w:tcPr>
            <w:tcW w:w="2371" w:type="dxa"/>
            <w:vMerge w:val="restart"/>
            <w:tcBorders>
              <w:top w:val="single" w:sz="18" w:space="0" w:color="auto"/>
            </w:tcBorders>
            <w:vAlign w:val="center"/>
          </w:tcPr>
          <w:p w14:paraId="6F72F957"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Per-ton-rate vehicles</w:t>
            </w:r>
          </w:p>
        </w:tc>
        <w:tc>
          <w:tcPr>
            <w:tcW w:w="2200" w:type="dxa"/>
            <w:vMerge w:val="restart"/>
            <w:tcBorders>
              <w:top w:val="single" w:sz="18" w:space="0" w:color="auto"/>
            </w:tcBorders>
            <w:vAlign w:val="center"/>
          </w:tcPr>
          <w:p w14:paraId="28D4804F"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$154.02 per ton</w:t>
            </w:r>
          </w:p>
        </w:tc>
        <w:tc>
          <w:tcPr>
            <w:tcW w:w="2210" w:type="dxa"/>
            <w:tcBorders>
              <w:top w:val="single" w:sz="18" w:space="0" w:color="auto"/>
              <w:bottom w:val="single" w:sz="4" w:space="0" w:color="auto"/>
            </w:tcBorders>
            <w:shd w:val="clear" w:color="auto" w:fill="F2DBDB" w:themeFill="accent2" w:themeFillTint="33"/>
            <w:vAlign w:val="center"/>
          </w:tcPr>
          <w:p w14:paraId="7B4B1A5B"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Commercial hauler: $123.82 per ton</w:t>
            </w:r>
          </w:p>
        </w:tc>
      </w:tr>
      <w:tr w:rsidR="00E115D9" w14:paraId="50C26A4D" w14:textId="77777777" w:rsidTr="00305B31">
        <w:trPr>
          <w:trHeight w:val="220"/>
          <w:jc w:val="center"/>
        </w:trPr>
        <w:tc>
          <w:tcPr>
            <w:tcW w:w="2580" w:type="dxa"/>
            <w:gridSpan w:val="2"/>
            <w:vMerge/>
            <w:vAlign w:val="center"/>
          </w:tcPr>
          <w:p w14:paraId="0E3F1BBE" w14:textId="77777777" w:rsidR="00E115D9" w:rsidRPr="00CC03AB" w:rsidRDefault="00E115D9" w:rsidP="00305B31">
            <w:pPr>
              <w:widowControl w:val="0"/>
              <w:rPr>
                <w:rFonts w:ascii="Arial" w:hAnsi="Arial" w:cs="Arial"/>
                <w:b/>
                <w:sz w:val="22"/>
                <w:szCs w:val="22"/>
              </w:rPr>
            </w:pPr>
          </w:p>
        </w:tc>
        <w:tc>
          <w:tcPr>
            <w:tcW w:w="2371" w:type="dxa"/>
            <w:vMerge/>
            <w:vAlign w:val="center"/>
          </w:tcPr>
          <w:p w14:paraId="26180205" w14:textId="77777777" w:rsidR="00E115D9" w:rsidRPr="00CC03AB" w:rsidRDefault="00E115D9" w:rsidP="00305B31">
            <w:pPr>
              <w:widowControl w:val="0"/>
              <w:rPr>
                <w:rFonts w:ascii="Arial" w:hAnsi="Arial" w:cs="Arial"/>
                <w:sz w:val="22"/>
                <w:szCs w:val="22"/>
              </w:rPr>
            </w:pPr>
          </w:p>
        </w:tc>
        <w:tc>
          <w:tcPr>
            <w:tcW w:w="2200" w:type="dxa"/>
            <w:vMerge/>
            <w:vAlign w:val="center"/>
          </w:tcPr>
          <w:p w14:paraId="021243ED" w14:textId="77777777" w:rsidR="00E115D9" w:rsidRPr="00CC03AB" w:rsidRDefault="00E115D9" w:rsidP="00305B31">
            <w:pPr>
              <w:widowControl w:val="0"/>
              <w:rPr>
                <w:rFonts w:ascii="Arial" w:hAnsi="Arial" w:cs="Arial"/>
                <w:sz w:val="22"/>
                <w:szCs w:val="22"/>
              </w:rPr>
            </w:pPr>
          </w:p>
        </w:tc>
        <w:tc>
          <w:tcPr>
            <w:tcW w:w="2210" w:type="dxa"/>
            <w:tcBorders>
              <w:top w:val="single" w:sz="4" w:space="0" w:color="auto"/>
            </w:tcBorders>
            <w:vAlign w:val="center"/>
          </w:tcPr>
          <w:p w14:paraId="11C480DD"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Self-hauler:</w:t>
            </w:r>
          </w:p>
          <w:p w14:paraId="3A9066BE" w14:textId="77777777" w:rsidR="00E115D9" w:rsidRPr="00CC03AB" w:rsidRDefault="00E115D9" w:rsidP="00305B31">
            <w:pPr>
              <w:widowControl w:val="0"/>
              <w:rPr>
                <w:rFonts w:ascii="Arial" w:hAnsi="Arial" w:cs="Arial"/>
                <w:sz w:val="22"/>
                <w:szCs w:val="22"/>
              </w:rPr>
            </w:pPr>
            <w:r w:rsidRPr="00CC03AB">
              <w:rPr>
                <w:rFonts w:ascii="Arial" w:hAnsi="Arial" w:cs="Arial"/>
                <w:sz w:val="22"/>
                <w:szCs w:val="22"/>
              </w:rPr>
              <w:t>$153.37 per ton</w:t>
            </w:r>
          </w:p>
        </w:tc>
      </w:tr>
    </w:tbl>
    <w:p w14:paraId="570932AD" w14:textId="5C14BD98" w:rsidR="00657C99" w:rsidRDefault="00657C99" w:rsidP="00FF3B74">
      <w:pPr>
        <w:keepNext/>
        <w:jc w:val="both"/>
        <w:rPr>
          <w:rFonts w:ascii="Arial" w:hAnsi="Arial" w:cs="Arial"/>
        </w:rPr>
      </w:pPr>
    </w:p>
    <w:p w14:paraId="590BCB34" w14:textId="6986B029" w:rsidR="00AB5326" w:rsidRDefault="00457B42" w:rsidP="00FF3B74">
      <w:pPr>
        <w:widowControl w:val="0"/>
        <w:jc w:val="both"/>
        <w:rPr>
          <w:rFonts w:ascii="Arial" w:hAnsi="Arial" w:cs="Arial"/>
        </w:rPr>
      </w:pPr>
      <w:r>
        <w:rPr>
          <w:rFonts w:ascii="Arial" w:hAnsi="Arial" w:cs="Arial"/>
          <w:i/>
          <w:iCs/>
        </w:rPr>
        <w:t xml:space="preserve">How the Updated Fees were Derived. </w:t>
      </w:r>
      <w:r w:rsidR="003A1533">
        <w:rPr>
          <w:rFonts w:ascii="Arial" w:hAnsi="Arial" w:cs="Arial"/>
        </w:rPr>
        <w:t xml:space="preserve">According to </w:t>
      </w:r>
      <w:r w:rsidR="00305B31">
        <w:rPr>
          <w:rFonts w:ascii="Arial" w:hAnsi="Arial" w:cs="Arial"/>
        </w:rPr>
        <w:t>the narrative accompanying</w:t>
      </w:r>
      <w:r w:rsidR="003A1533">
        <w:rPr>
          <w:rFonts w:ascii="Arial" w:hAnsi="Arial" w:cs="Arial"/>
        </w:rPr>
        <w:t xml:space="preserve"> the proposed ordinance, </w:t>
      </w:r>
      <w:r w:rsidR="005D483B">
        <w:rPr>
          <w:rFonts w:ascii="Arial" w:hAnsi="Arial" w:cs="Arial"/>
        </w:rPr>
        <w:t xml:space="preserve">the consultant cost-of-service analysis determined that providing service to transfer station commercial customers costs the County approximately $100 million each year. Therefore, Executive staff indicate that </w:t>
      </w:r>
      <w:r w:rsidR="008B14DA">
        <w:rPr>
          <w:rFonts w:ascii="Arial" w:hAnsi="Arial" w:cs="Arial"/>
        </w:rPr>
        <w:t>the amount of the FAC and the revenue generated from the weight-based fee on commercially-hauled tons</w:t>
      </w:r>
      <w:r w:rsidR="00B11657">
        <w:rPr>
          <w:rFonts w:ascii="Arial" w:hAnsi="Arial" w:cs="Arial"/>
        </w:rPr>
        <w:t xml:space="preserve"> should </w:t>
      </w:r>
      <w:r w:rsidR="00E11ECA">
        <w:rPr>
          <w:rFonts w:ascii="Arial" w:hAnsi="Arial" w:cs="Arial"/>
        </w:rPr>
        <w:t>equal the total cost of providing disposal services to that customer class.</w:t>
      </w:r>
      <w:r w:rsidR="00386D63">
        <w:rPr>
          <w:rFonts w:ascii="Arial" w:hAnsi="Arial" w:cs="Arial"/>
        </w:rPr>
        <w:t xml:space="preserve"> Subtracting the </w:t>
      </w:r>
      <w:r w:rsidR="004D427A">
        <w:rPr>
          <w:rFonts w:ascii="Arial" w:hAnsi="Arial" w:cs="Arial"/>
        </w:rPr>
        <w:t xml:space="preserve">FAC amount </w:t>
      </w:r>
      <w:r w:rsidR="00C560D3">
        <w:rPr>
          <w:rFonts w:ascii="Arial" w:hAnsi="Arial" w:cs="Arial"/>
        </w:rPr>
        <w:t xml:space="preserve">($19.7 million) </w:t>
      </w:r>
      <w:r w:rsidR="004D427A">
        <w:rPr>
          <w:rFonts w:ascii="Arial" w:hAnsi="Arial" w:cs="Arial"/>
        </w:rPr>
        <w:t>from</w:t>
      </w:r>
      <w:r w:rsidR="00C560D3">
        <w:rPr>
          <w:rFonts w:ascii="Arial" w:hAnsi="Arial" w:cs="Arial"/>
        </w:rPr>
        <w:t xml:space="preserve"> the estimated costs of service ($100 million) yields approximately $80 million in costs </w:t>
      </w:r>
      <w:r w:rsidR="00AB5326">
        <w:rPr>
          <w:rFonts w:ascii="Arial" w:hAnsi="Arial" w:cs="Arial"/>
        </w:rPr>
        <w:t xml:space="preserve">that would need to be generated by </w:t>
      </w:r>
      <w:r w:rsidR="00C560D3">
        <w:rPr>
          <w:rFonts w:ascii="Arial" w:hAnsi="Arial" w:cs="Arial"/>
        </w:rPr>
        <w:t>the weight-based fee.</w:t>
      </w:r>
      <w:r w:rsidR="0092078F">
        <w:rPr>
          <w:rFonts w:ascii="Arial" w:hAnsi="Arial" w:cs="Arial"/>
        </w:rPr>
        <w:t xml:space="preserve"> </w:t>
      </w:r>
      <w:r w:rsidR="00AB5326">
        <w:rPr>
          <w:rFonts w:ascii="Arial" w:hAnsi="Arial" w:cs="Arial"/>
        </w:rPr>
        <w:t>Executive staff then assumed 650,000 tons of commercial waste annually from which to recover the $80 million</w:t>
      </w:r>
      <w:r w:rsidR="00305B31">
        <w:rPr>
          <w:rFonts w:ascii="Arial" w:hAnsi="Arial" w:cs="Arial"/>
        </w:rPr>
        <w:t xml:space="preserve"> and estimated that a $123.82 per ton fee would be needed to generate sufficient revenue</w:t>
      </w:r>
      <w:r w:rsidR="00B66B95">
        <w:rPr>
          <w:rFonts w:ascii="Arial" w:hAnsi="Arial" w:cs="Arial"/>
        </w:rPr>
        <w:t xml:space="preserve"> (compared to</w:t>
      </w:r>
      <w:r w:rsidR="00CD27FE">
        <w:rPr>
          <w:rFonts w:ascii="Arial" w:hAnsi="Arial" w:cs="Arial"/>
        </w:rPr>
        <w:t xml:space="preserve"> the current</w:t>
      </w:r>
      <w:r w:rsidR="00B66B95">
        <w:rPr>
          <w:rFonts w:ascii="Arial" w:hAnsi="Arial" w:cs="Arial"/>
        </w:rPr>
        <w:t xml:space="preserve"> fee of</w:t>
      </w:r>
      <w:r w:rsidR="00CD27FE">
        <w:rPr>
          <w:rFonts w:ascii="Arial" w:hAnsi="Arial" w:cs="Arial"/>
        </w:rPr>
        <w:t xml:space="preserve"> $154.02 per ton</w:t>
      </w:r>
      <w:r w:rsidR="00B66B95">
        <w:rPr>
          <w:rFonts w:ascii="Arial" w:hAnsi="Arial" w:cs="Arial"/>
        </w:rPr>
        <w:t>)</w:t>
      </w:r>
      <w:r w:rsidR="00CD27FE">
        <w:rPr>
          <w:rFonts w:ascii="Arial" w:hAnsi="Arial" w:cs="Arial"/>
        </w:rPr>
        <w:t xml:space="preserve">. </w:t>
      </w:r>
    </w:p>
    <w:p w14:paraId="73E2D043" w14:textId="44EEC1D0" w:rsidR="00457B42" w:rsidRDefault="00457B42" w:rsidP="00FF3B74">
      <w:pPr>
        <w:widowControl w:val="0"/>
        <w:jc w:val="both"/>
        <w:rPr>
          <w:rFonts w:ascii="Arial" w:hAnsi="Arial" w:cs="Arial"/>
        </w:rPr>
      </w:pPr>
      <w:r>
        <w:rPr>
          <w:rFonts w:ascii="Arial" w:hAnsi="Arial" w:cs="Arial"/>
        </w:rPr>
        <w:lastRenderedPageBreak/>
        <w:t xml:space="preserve">However, it is important to note that Executive staff anticipate sending a fee proposal ordinance for 2023-2024 later this year after </w:t>
      </w:r>
      <w:r w:rsidR="00B66B95">
        <w:rPr>
          <w:rFonts w:ascii="Arial" w:hAnsi="Arial" w:cs="Arial"/>
        </w:rPr>
        <w:t xml:space="preserve">Division </w:t>
      </w:r>
      <w:r>
        <w:rPr>
          <w:rFonts w:ascii="Arial" w:hAnsi="Arial" w:cs="Arial"/>
        </w:rPr>
        <w:t xml:space="preserve">budget development work for the next biennial budget is completed. By adopting this ordinance, the Council would be setting these fees for 2023, however, they </w:t>
      </w:r>
      <w:r w:rsidR="00AE4288">
        <w:rPr>
          <w:rFonts w:ascii="Arial" w:hAnsi="Arial" w:cs="Arial"/>
        </w:rPr>
        <w:t xml:space="preserve">may not ultimately go into effect if the Council </w:t>
      </w:r>
      <w:r>
        <w:rPr>
          <w:rFonts w:ascii="Arial" w:hAnsi="Arial" w:cs="Arial"/>
        </w:rPr>
        <w:t xml:space="preserve">approves </w:t>
      </w:r>
      <w:r w:rsidR="00AE4288">
        <w:rPr>
          <w:rFonts w:ascii="Arial" w:hAnsi="Arial" w:cs="Arial"/>
        </w:rPr>
        <w:t>a</w:t>
      </w:r>
      <w:r>
        <w:rPr>
          <w:rFonts w:ascii="Arial" w:hAnsi="Arial" w:cs="Arial"/>
        </w:rPr>
        <w:t xml:space="preserve"> fee ordinance later this year with different fee amounts.</w:t>
      </w:r>
    </w:p>
    <w:p w14:paraId="5234FD24" w14:textId="55E02704" w:rsidR="004762CF" w:rsidRDefault="004762CF" w:rsidP="00380369">
      <w:pPr>
        <w:widowControl w:val="0"/>
        <w:jc w:val="both"/>
        <w:rPr>
          <w:rFonts w:ascii="Arial" w:hAnsi="Arial" w:cs="Arial"/>
        </w:rPr>
      </w:pPr>
    </w:p>
    <w:p w14:paraId="28480AFA" w14:textId="1CDDF42E" w:rsidR="00E97DD2" w:rsidRDefault="00DA48CF" w:rsidP="00380369">
      <w:pPr>
        <w:widowControl w:val="0"/>
        <w:jc w:val="both"/>
        <w:rPr>
          <w:rFonts w:ascii="Arial" w:hAnsi="Arial" w:cs="Arial"/>
        </w:rPr>
      </w:pPr>
      <w:r>
        <w:rPr>
          <w:rFonts w:ascii="Arial" w:hAnsi="Arial" w:cs="Arial"/>
          <w:b/>
          <w:bCs/>
        </w:rPr>
        <w:t>Financial Analysis.</w:t>
      </w:r>
      <w:r w:rsidR="00FF5669">
        <w:rPr>
          <w:rFonts w:ascii="Arial" w:hAnsi="Arial" w:cs="Arial"/>
          <w:b/>
          <w:bCs/>
        </w:rPr>
        <w:t xml:space="preserve"> </w:t>
      </w:r>
      <w:r w:rsidR="007E1E1A">
        <w:rPr>
          <w:rFonts w:ascii="Arial" w:hAnsi="Arial" w:cs="Arial"/>
        </w:rPr>
        <w:t>Executive staff indicate that there is no fee increase associated with the proposed</w:t>
      </w:r>
      <w:r w:rsidR="00DB2B48">
        <w:rPr>
          <w:rFonts w:ascii="Arial" w:hAnsi="Arial" w:cs="Arial"/>
        </w:rPr>
        <w:t xml:space="preserve"> ordinance</w:t>
      </w:r>
      <w:r w:rsidR="00B93AB3">
        <w:rPr>
          <w:rFonts w:ascii="Arial" w:hAnsi="Arial" w:cs="Arial"/>
        </w:rPr>
        <w:t xml:space="preserve">, as </w:t>
      </w:r>
      <w:r w:rsidR="006B345F">
        <w:rPr>
          <w:rFonts w:ascii="Arial" w:hAnsi="Arial" w:cs="Arial"/>
        </w:rPr>
        <w:t>it</w:t>
      </w:r>
      <w:r w:rsidR="00F626FE">
        <w:rPr>
          <w:rFonts w:ascii="Arial" w:hAnsi="Arial" w:cs="Arial"/>
        </w:rPr>
        <w:t xml:space="preserve"> assumes the same revenue requirement as </w:t>
      </w:r>
      <w:r w:rsidR="00B66B95">
        <w:rPr>
          <w:rFonts w:ascii="Arial" w:hAnsi="Arial" w:cs="Arial"/>
        </w:rPr>
        <w:t xml:space="preserve">was used as the basis for the fees that went into effect in </w:t>
      </w:r>
      <w:r w:rsidR="00F626FE">
        <w:rPr>
          <w:rFonts w:ascii="Arial" w:hAnsi="Arial" w:cs="Arial"/>
        </w:rPr>
        <w:t>2022</w:t>
      </w:r>
      <w:r w:rsidR="00B66B95">
        <w:rPr>
          <w:rFonts w:ascii="Arial" w:hAnsi="Arial" w:cs="Arial"/>
        </w:rPr>
        <w:t>,</w:t>
      </w:r>
      <w:r w:rsidR="00F626FE">
        <w:rPr>
          <w:rFonts w:ascii="Arial" w:hAnsi="Arial" w:cs="Arial"/>
        </w:rPr>
        <w:t xml:space="preserve"> and therefore</w:t>
      </w:r>
      <w:r w:rsidR="00B66B95">
        <w:rPr>
          <w:rFonts w:ascii="Arial" w:hAnsi="Arial" w:cs="Arial"/>
        </w:rPr>
        <w:t xml:space="preserve"> the restructure</w:t>
      </w:r>
      <w:r w:rsidR="00E27373">
        <w:rPr>
          <w:rFonts w:ascii="Arial" w:hAnsi="Arial" w:cs="Arial"/>
        </w:rPr>
        <w:t xml:space="preserve"> should generate the same amount of revenue that would be collected under the status quo fee structure.</w:t>
      </w:r>
      <w:r w:rsidR="00D63164">
        <w:rPr>
          <w:rFonts w:ascii="Arial" w:hAnsi="Arial" w:cs="Arial"/>
        </w:rPr>
        <w:t xml:space="preserve"> </w:t>
      </w:r>
    </w:p>
    <w:p w14:paraId="519A5178" w14:textId="2C8FF0FE" w:rsidR="000304D0" w:rsidRDefault="000304D0" w:rsidP="00380369">
      <w:pPr>
        <w:widowControl w:val="0"/>
        <w:jc w:val="both"/>
        <w:rPr>
          <w:rFonts w:ascii="Arial" w:hAnsi="Arial" w:cs="Arial"/>
        </w:rPr>
      </w:pPr>
    </w:p>
    <w:p w14:paraId="291CF806" w14:textId="414C944F" w:rsidR="000304D0" w:rsidRDefault="000304D0" w:rsidP="00380369">
      <w:pPr>
        <w:widowControl w:val="0"/>
        <w:jc w:val="both"/>
        <w:rPr>
          <w:rFonts w:ascii="Arial" w:hAnsi="Arial" w:cs="Arial"/>
        </w:rPr>
      </w:pPr>
      <w:r>
        <w:rPr>
          <w:rFonts w:ascii="Arial" w:hAnsi="Arial" w:cs="Arial"/>
        </w:rPr>
        <w:t>Additionally,</w:t>
      </w:r>
      <w:r w:rsidR="00AE230E">
        <w:rPr>
          <w:rFonts w:ascii="Arial" w:hAnsi="Arial" w:cs="Arial"/>
        </w:rPr>
        <w:t xml:space="preserve"> according to Executive staff, the restructure proposal would not increase the total disposal cost burden for cities or shift costs from one city to another</w:t>
      </w:r>
      <w:r w:rsidR="00306138">
        <w:rPr>
          <w:rFonts w:ascii="Arial" w:hAnsi="Arial" w:cs="Arial"/>
        </w:rPr>
        <w:t xml:space="preserve"> as was the case with other restructure options considered</w:t>
      </w:r>
      <w:r w:rsidR="00AE230E">
        <w:rPr>
          <w:rFonts w:ascii="Arial" w:hAnsi="Arial" w:cs="Arial"/>
        </w:rPr>
        <w:t xml:space="preserve">. </w:t>
      </w:r>
      <w:r w:rsidR="003F1939">
        <w:rPr>
          <w:rFonts w:ascii="Arial" w:hAnsi="Arial" w:cs="Arial"/>
        </w:rPr>
        <w:t>Avoiding intercity cost shifts was a key concern for members of the Rate Restructure Task Force and the Metropolitan Solid Waste (Management) Advisory Committee.</w:t>
      </w:r>
      <w:r w:rsidR="00186847">
        <w:rPr>
          <w:rFonts w:ascii="Arial" w:hAnsi="Arial" w:cs="Arial"/>
        </w:rPr>
        <w:t xml:space="preserve"> For example, </w:t>
      </w:r>
      <w:r w:rsidR="00DD6896">
        <w:rPr>
          <w:rFonts w:ascii="Arial" w:hAnsi="Arial" w:cs="Arial"/>
        </w:rPr>
        <w:t>two</w:t>
      </w:r>
      <w:r w:rsidR="00186847">
        <w:rPr>
          <w:rFonts w:ascii="Arial" w:hAnsi="Arial" w:cs="Arial"/>
        </w:rPr>
        <w:t xml:space="preserve"> of the </w:t>
      </w:r>
      <w:r w:rsidR="008C4AC7">
        <w:rPr>
          <w:rFonts w:ascii="Arial" w:hAnsi="Arial" w:cs="Arial"/>
        </w:rPr>
        <w:t xml:space="preserve">restructure </w:t>
      </w:r>
      <w:r w:rsidR="00186847">
        <w:rPr>
          <w:rFonts w:ascii="Arial" w:hAnsi="Arial" w:cs="Arial"/>
        </w:rPr>
        <w:t>options considered but ultimately rejected, would have</w:t>
      </w:r>
      <w:r w:rsidR="00DD6896">
        <w:rPr>
          <w:rFonts w:ascii="Arial" w:hAnsi="Arial" w:cs="Arial"/>
        </w:rPr>
        <w:t xml:space="preserve"> shifted some of the disposal cost burden from cities that have a high concentration of business and institutional waste to cities that have mostly residential waste.</w:t>
      </w:r>
    </w:p>
    <w:p w14:paraId="559165F0" w14:textId="77777777" w:rsidR="00DB2B48" w:rsidRPr="007E1E1A" w:rsidRDefault="00DB2B48" w:rsidP="00FF3B74">
      <w:pPr>
        <w:keepNext/>
        <w:jc w:val="both"/>
        <w:rPr>
          <w:rFonts w:ascii="Arial" w:hAnsi="Arial" w:cs="Arial"/>
        </w:rPr>
      </w:pPr>
    </w:p>
    <w:p w14:paraId="15C85E04" w14:textId="40E516B2" w:rsidR="00034741" w:rsidRDefault="00AF5F1D" w:rsidP="00FF3B74">
      <w:pPr>
        <w:keepNext/>
        <w:jc w:val="both"/>
        <w:rPr>
          <w:rFonts w:ascii="Arial" w:hAnsi="Arial" w:cs="Arial"/>
        </w:rPr>
      </w:pPr>
      <w:r>
        <w:rPr>
          <w:rFonts w:ascii="Arial" w:hAnsi="Arial" w:cs="Arial"/>
        </w:rPr>
        <w:t xml:space="preserve">Furthermore, </w:t>
      </w:r>
      <w:r w:rsidR="0018551D">
        <w:rPr>
          <w:rFonts w:ascii="Arial" w:hAnsi="Arial" w:cs="Arial"/>
        </w:rPr>
        <w:t xml:space="preserve">by </w:t>
      </w:r>
      <w:r w:rsidR="009C3E73">
        <w:rPr>
          <w:rFonts w:ascii="Arial" w:hAnsi="Arial" w:cs="Arial"/>
        </w:rPr>
        <w:t>using t</w:t>
      </w:r>
      <w:r w:rsidR="002E7C20">
        <w:rPr>
          <w:rFonts w:ascii="Arial" w:hAnsi="Arial" w:cs="Arial"/>
        </w:rPr>
        <w:t>h</w:t>
      </w:r>
      <w:r w:rsidR="009C3E73">
        <w:rPr>
          <w:rFonts w:ascii="Arial" w:hAnsi="Arial" w:cs="Arial"/>
        </w:rPr>
        <w:t xml:space="preserve">e most recent calendar year of tonnage data to set FAC shares </w:t>
      </w:r>
      <w:r w:rsidR="0018551D">
        <w:rPr>
          <w:rFonts w:ascii="Arial" w:hAnsi="Arial" w:cs="Arial"/>
        </w:rPr>
        <w:t xml:space="preserve">the consultant report notes that </w:t>
      </w:r>
      <w:r w:rsidR="009C3E73">
        <w:rPr>
          <w:rFonts w:ascii="Arial" w:hAnsi="Arial" w:cs="Arial"/>
        </w:rPr>
        <w:t xml:space="preserve">billing entities </w:t>
      </w:r>
      <w:r w:rsidR="0018551D">
        <w:rPr>
          <w:rFonts w:ascii="Arial" w:hAnsi="Arial" w:cs="Arial"/>
        </w:rPr>
        <w:t xml:space="preserve">have </w:t>
      </w:r>
      <w:r w:rsidR="009C3E73">
        <w:rPr>
          <w:rFonts w:ascii="Arial" w:hAnsi="Arial" w:cs="Arial"/>
        </w:rPr>
        <w:t xml:space="preserve">more certainty about the amount of revenue they need to raise from curbside customers to cover their disposal costs. </w:t>
      </w:r>
    </w:p>
    <w:p w14:paraId="56536EF4" w14:textId="77777777" w:rsidR="00293115" w:rsidRDefault="00293115" w:rsidP="000B077C">
      <w:pPr>
        <w:widowControl w:val="0"/>
        <w:jc w:val="both"/>
        <w:rPr>
          <w:rFonts w:ascii="Arial" w:hAnsi="Arial" w:cs="Arial"/>
        </w:rPr>
      </w:pPr>
    </w:p>
    <w:p w14:paraId="73BE94F0" w14:textId="6CD0D4ED" w:rsidR="00D46638" w:rsidRDefault="002D5E23" w:rsidP="000B077C">
      <w:pPr>
        <w:widowControl w:val="0"/>
        <w:jc w:val="both"/>
        <w:rPr>
          <w:rFonts w:ascii="Arial" w:hAnsi="Arial" w:cs="Arial"/>
        </w:rPr>
      </w:pPr>
      <w:r w:rsidRPr="00C27749">
        <w:rPr>
          <w:rFonts w:ascii="Arial" w:hAnsi="Arial" w:cs="Arial"/>
          <w:b/>
          <w:bCs/>
        </w:rPr>
        <w:t>Anticipated Impacts.</w:t>
      </w:r>
      <w:r w:rsidR="004B4A5E">
        <w:rPr>
          <w:rFonts w:ascii="Arial" w:hAnsi="Arial" w:cs="Arial"/>
          <w:b/>
          <w:bCs/>
        </w:rPr>
        <w:t xml:space="preserve"> </w:t>
      </w:r>
      <w:r w:rsidR="00C3392E">
        <w:rPr>
          <w:rFonts w:ascii="Arial" w:hAnsi="Arial" w:cs="Arial"/>
        </w:rPr>
        <w:t xml:space="preserve">According to </w:t>
      </w:r>
      <w:r w:rsidR="00B66B95">
        <w:rPr>
          <w:rFonts w:ascii="Arial" w:hAnsi="Arial" w:cs="Arial"/>
        </w:rPr>
        <w:t>the narrative accompanying the proposed ordinance</w:t>
      </w:r>
      <w:r w:rsidR="002E7C20">
        <w:rPr>
          <w:rFonts w:ascii="Arial" w:hAnsi="Arial" w:cs="Arial"/>
        </w:rPr>
        <w:t xml:space="preserve">, the </w:t>
      </w:r>
      <w:r w:rsidR="00B66B95">
        <w:rPr>
          <w:rFonts w:ascii="Arial" w:hAnsi="Arial" w:cs="Arial"/>
        </w:rPr>
        <w:t>fee restructure</w:t>
      </w:r>
      <w:r w:rsidR="002E7C20">
        <w:rPr>
          <w:rFonts w:ascii="Arial" w:hAnsi="Arial" w:cs="Arial"/>
        </w:rPr>
        <w:t xml:space="preserve"> </w:t>
      </w:r>
      <w:r w:rsidR="000B077C">
        <w:rPr>
          <w:rFonts w:ascii="Arial" w:hAnsi="Arial" w:cs="Arial"/>
        </w:rPr>
        <w:t xml:space="preserve">will likely require </w:t>
      </w:r>
      <w:r w:rsidR="00BD69F8">
        <w:rPr>
          <w:rFonts w:ascii="Arial" w:hAnsi="Arial" w:cs="Arial"/>
        </w:rPr>
        <w:t xml:space="preserve">some </w:t>
      </w:r>
      <w:r w:rsidR="000B077C">
        <w:rPr>
          <w:rFonts w:ascii="Arial" w:hAnsi="Arial" w:cs="Arial"/>
        </w:rPr>
        <w:t xml:space="preserve">cities and haulers to update the terms of their collection and billing contracts. The narrative further states that most contracts handle disposal charges as a pass-through based on the percent change in the weight-based fee whenever </w:t>
      </w:r>
      <w:r w:rsidR="00882EF0">
        <w:rPr>
          <w:rFonts w:ascii="Arial" w:hAnsi="Arial" w:cs="Arial"/>
        </w:rPr>
        <w:t>it</w:t>
      </w:r>
      <w:r w:rsidR="000B077C">
        <w:rPr>
          <w:rFonts w:ascii="Arial" w:hAnsi="Arial" w:cs="Arial"/>
        </w:rPr>
        <w:t xml:space="preserve"> changes</w:t>
      </w:r>
      <w:r w:rsidR="00CC19BB">
        <w:rPr>
          <w:rFonts w:ascii="Arial" w:hAnsi="Arial" w:cs="Arial"/>
        </w:rPr>
        <w:t>. However, since the proposed ordinance would introduce the FAC</w:t>
      </w:r>
      <w:r w:rsidR="00964E0D">
        <w:rPr>
          <w:rFonts w:ascii="Arial" w:hAnsi="Arial" w:cs="Arial"/>
        </w:rPr>
        <w:t>, the contract language in these instances may need to be updated</w:t>
      </w:r>
      <w:r w:rsidR="00902EF1">
        <w:rPr>
          <w:rFonts w:ascii="Arial" w:hAnsi="Arial" w:cs="Arial"/>
        </w:rPr>
        <w:t xml:space="preserve"> thereby opening the contracts up for negotiation</w:t>
      </w:r>
      <w:r w:rsidR="00964E0D">
        <w:rPr>
          <w:rFonts w:ascii="Arial" w:hAnsi="Arial" w:cs="Arial"/>
        </w:rPr>
        <w:t xml:space="preserve">. </w:t>
      </w:r>
    </w:p>
    <w:p w14:paraId="3F7BA840" w14:textId="77777777" w:rsidR="00D46638" w:rsidRDefault="00D46638" w:rsidP="000B077C">
      <w:pPr>
        <w:widowControl w:val="0"/>
        <w:jc w:val="both"/>
        <w:rPr>
          <w:rFonts w:ascii="Arial" w:hAnsi="Arial" w:cs="Arial"/>
        </w:rPr>
      </w:pPr>
    </w:p>
    <w:p w14:paraId="179F5B4A" w14:textId="229E7ED4" w:rsidR="00B2020B" w:rsidRDefault="00FA0DEA" w:rsidP="000B077C">
      <w:pPr>
        <w:widowControl w:val="0"/>
        <w:jc w:val="both"/>
        <w:rPr>
          <w:rFonts w:ascii="Arial" w:hAnsi="Arial" w:cs="Arial"/>
        </w:rPr>
      </w:pPr>
      <w:r>
        <w:rPr>
          <w:rFonts w:ascii="Arial" w:hAnsi="Arial" w:cs="Arial"/>
        </w:rPr>
        <w:t xml:space="preserve">Additionally, </w:t>
      </w:r>
      <w:r w:rsidR="00D12554">
        <w:rPr>
          <w:rFonts w:ascii="Arial" w:hAnsi="Arial" w:cs="Arial"/>
        </w:rPr>
        <w:t>Executive staff indicate that billing entities -- cities and haulers -- will also need time to update their billing systems</w:t>
      </w:r>
      <w:r w:rsidR="007E7692">
        <w:rPr>
          <w:rFonts w:ascii="Arial" w:hAnsi="Arial" w:cs="Arial"/>
        </w:rPr>
        <w:t xml:space="preserve"> to reflect the new structure</w:t>
      </w:r>
      <w:r w:rsidR="004B4E2B">
        <w:rPr>
          <w:rFonts w:ascii="Arial" w:hAnsi="Arial" w:cs="Arial"/>
        </w:rPr>
        <w:t xml:space="preserve">. </w:t>
      </w:r>
      <w:r w:rsidR="009C2A6F">
        <w:rPr>
          <w:rFonts w:ascii="Arial" w:hAnsi="Arial" w:cs="Arial"/>
        </w:rPr>
        <w:t>The consultant recommended allowing at least nine months lead time between when the new fee structure is adopted by the Council and the first bills go out.</w:t>
      </w:r>
    </w:p>
    <w:p w14:paraId="3574520D" w14:textId="4A7C8EB2" w:rsidR="004B4E2B" w:rsidRDefault="004B4E2B" w:rsidP="000B077C">
      <w:pPr>
        <w:widowControl w:val="0"/>
        <w:jc w:val="both"/>
        <w:rPr>
          <w:rFonts w:ascii="Arial" w:hAnsi="Arial" w:cs="Arial"/>
        </w:rPr>
      </w:pPr>
    </w:p>
    <w:p w14:paraId="277B1191" w14:textId="2EC15A1B" w:rsidR="004B4E2B" w:rsidRDefault="00D82A42" w:rsidP="000B077C">
      <w:pPr>
        <w:widowControl w:val="0"/>
        <w:jc w:val="both"/>
        <w:rPr>
          <w:rFonts w:ascii="Arial" w:hAnsi="Arial" w:cs="Arial"/>
        </w:rPr>
      </w:pPr>
      <w:r>
        <w:rPr>
          <w:rFonts w:ascii="Arial" w:hAnsi="Arial" w:cs="Arial"/>
        </w:rPr>
        <w:t xml:space="preserve">Billing entities will also have to determine how the FAC will be passed on to the </w:t>
      </w:r>
      <w:r w:rsidR="00B66B95">
        <w:rPr>
          <w:rFonts w:ascii="Arial" w:hAnsi="Arial" w:cs="Arial"/>
        </w:rPr>
        <w:t>curbside</w:t>
      </w:r>
      <w:r>
        <w:rPr>
          <w:rFonts w:ascii="Arial" w:hAnsi="Arial" w:cs="Arial"/>
        </w:rPr>
        <w:t xml:space="preserve"> customers</w:t>
      </w:r>
      <w:r w:rsidR="002E4D7C">
        <w:rPr>
          <w:rFonts w:ascii="Arial" w:hAnsi="Arial" w:cs="Arial"/>
        </w:rPr>
        <w:t>. While there are a number of potential ways</w:t>
      </w:r>
      <w:r w:rsidR="00E167CF">
        <w:rPr>
          <w:rFonts w:ascii="Arial" w:hAnsi="Arial" w:cs="Arial"/>
        </w:rPr>
        <w:t xml:space="preserve"> this could be done (e.g., divide a billing entity's share of the FAC by the </w:t>
      </w:r>
      <w:r w:rsidR="00F63273">
        <w:rPr>
          <w:rFonts w:ascii="Arial" w:hAnsi="Arial" w:cs="Arial"/>
        </w:rPr>
        <w:t xml:space="preserve">total </w:t>
      </w:r>
      <w:r w:rsidR="00E167CF">
        <w:rPr>
          <w:rFonts w:ascii="Arial" w:hAnsi="Arial" w:cs="Arial"/>
        </w:rPr>
        <w:t>number of accounts), it ultimately is up to the city and hauler to decide</w:t>
      </w:r>
      <w:r w:rsidR="00F9490F">
        <w:rPr>
          <w:rFonts w:ascii="Arial" w:hAnsi="Arial" w:cs="Arial"/>
        </w:rPr>
        <w:t xml:space="preserve">. </w:t>
      </w:r>
      <w:r w:rsidR="00B66B95">
        <w:rPr>
          <w:rFonts w:ascii="Arial" w:hAnsi="Arial" w:cs="Arial"/>
        </w:rPr>
        <w:t>Executive staff t</w:t>
      </w:r>
      <w:r w:rsidR="00F9490F">
        <w:rPr>
          <w:rFonts w:ascii="Arial" w:hAnsi="Arial" w:cs="Arial"/>
        </w:rPr>
        <w:t>herefore</w:t>
      </w:r>
      <w:r w:rsidR="00B66B95">
        <w:rPr>
          <w:rFonts w:ascii="Arial" w:hAnsi="Arial" w:cs="Arial"/>
        </w:rPr>
        <w:t xml:space="preserve"> indicate that</w:t>
      </w:r>
      <w:r w:rsidR="00F9490F">
        <w:rPr>
          <w:rFonts w:ascii="Arial" w:hAnsi="Arial" w:cs="Arial"/>
        </w:rPr>
        <w:t>, at this point, it is not possible to know the ultimate curbside impact</w:t>
      </w:r>
      <w:r w:rsidR="00B66B95">
        <w:rPr>
          <w:rFonts w:ascii="Arial" w:hAnsi="Arial" w:cs="Arial"/>
        </w:rPr>
        <w:t>s</w:t>
      </w:r>
      <w:r w:rsidR="00F63273">
        <w:rPr>
          <w:rFonts w:ascii="Arial" w:hAnsi="Arial" w:cs="Arial"/>
        </w:rPr>
        <w:t xml:space="preserve"> of the proposed ordinance </w:t>
      </w:r>
      <w:r w:rsidR="00B66B95">
        <w:rPr>
          <w:rFonts w:ascii="Arial" w:hAnsi="Arial" w:cs="Arial"/>
        </w:rPr>
        <w:t>across the County.</w:t>
      </w:r>
    </w:p>
    <w:p w14:paraId="7719BF23" w14:textId="31C68C30" w:rsidR="00D82A42" w:rsidRDefault="00D82A42" w:rsidP="000B077C">
      <w:pPr>
        <w:widowControl w:val="0"/>
        <w:jc w:val="both"/>
        <w:rPr>
          <w:rFonts w:ascii="Arial" w:hAnsi="Arial" w:cs="Arial"/>
        </w:rPr>
      </w:pPr>
    </w:p>
    <w:p w14:paraId="6A5B7364" w14:textId="4179C35D" w:rsidR="009A0993" w:rsidRDefault="009A0993" w:rsidP="00C71B1C">
      <w:pPr>
        <w:widowControl w:val="0"/>
        <w:jc w:val="both"/>
        <w:rPr>
          <w:rFonts w:ascii="Arial" w:hAnsi="Arial" w:cs="Arial"/>
        </w:rPr>
      </w:pPr>
      <w:r>
        <w:rPr>
          <w:rFonts w:ascii="Arial" w:hAnsi="Arial" w:cs="Arial"/>
        </w:rPr>
        <w:t>Besides billing updates and potential contract renegotiation, Executive staff do not anticipate</w:t>
      </w:r>
      <w:r w:rsidR="007966AC">
        <w:rPr>
          <w:rFonts w:ascii="Arial" w:hAnsi="Arial" w:cs="Arial"/>
        </w:rPr>
        <w:t xml:space="preserve"> any other operational impacts for haulers resulting from the proposed ordinance. Likewise, </w:t>
      </w:r>
      <w:r w:rsidR="007F0D7A">
        <w:rPr>
          <w:rFonts w:ascii="Arial" w:hAnsi="Arial" w:cs="Arial"/>
        </w:rPr>
        <w:t xml:space="preserve">no major operational impacts for SWD are expected outside of changes to the billing environment, according to Executive staff. </w:t>
      </w:r>
    </w:p>
    <w:p w14:paraId="795D8A4A" w14:textId="532234E7" w:rsidR="00CB2A94" w:rsidRDefault="00DE04B2" w:rsidP="00FF3B74">
      <w:pPr>
        <w:keepNext/>
        <w:jc w:val="both"/>
        <w:rPr>
          <w:rFonts w:ascii="Arial" w:hAnsi="Arial" w:cs="Arial"/>
        </w:rPr>
      </w:pPr>
      <w:r w:rsidRPr="009752D8">
        <w:rPr>
          <w:rFonts w:ascii="Arial" w:hAnsi="Arial" w:cs="Arial"/>
          <w:b/>
          <w:bCs/>
        </w:rPr>
        <w:lastRenderedPageBreak/>
        <w:t>Timing</w:t>
      </w:r>
      <w:r w:rsidR="009752D8" w:rsidRPr="009752D8">
        <w:rPr>
          <w:rFonts w:ascii="Arial" w:hAnsi="Arial" w:cs="Arial"/>
          <w:b/>
          <w:bCs/>
        </w:rPr>
        <w:t xml:space="preserve"> Considerations</w:t>
      </w:r>
      <w:r w:rsidR="00AC2C14">
        <w:rPr>
          <w:rFonts w:ascii="Arial" w:hAnsi="Arial" w:cs="Arial"/>
          <w:b/>
          <w:bCs/>
        </w:rPr>
        <w:t xml:space="preserve"> and Future Legislation</w:t>
      </w:r>
      <w:r w:rsidR="009752D8" w:rsidRPr="009752D8">
        <w:rPr>
          <w:rFonts w:ascii="Arial" w:hAnsi="Arial" w:cs="Arial"/>
          <w:b/>
          <w:bCs/>
        </w:rPr>
        <w:t>.</w:t>
      </w:r>
      <w:r>
        <w:rPr>
          <w:rFonts w:ascii="Arial" w:hAnsi="Arial" w:cs="Arial"/>
        </w:rPr>
        <w:t xml:space="preserve"> </w:t>
      </w:r>
      <w:r w:rsidR="007A4AC0">
        <w:rPr>
          <w:rFonts w:ascii="Arial" w:hAnsi="Arial" w:cs="Arial"/>
        </w:rPr>
        <w:t xml:space="preserve">As noted </w:t>
      </w:r>
      <w:r w:rsidR="00E17B1A">
        <w:rPr>
          <w:rFonts w:ascii="Arial" w:hAnsi="Arial" w:cs="Arial"/>
        </w:rPr>
        <w:t>above</w:t>
      </w:r>
      <w:r w:rsidR="007A4AC0">
        <w:rPr>
          <w:rFonts w:ascii="Arial" w:hAnsi="Arial" w:cs="Arial"/>
        </w:rPr>
        <w:t xml:space="preserve">, </w:t>
      </w:r>
      <w:r>
        <w:rPr>
          <w:rFonts w:ascii="Arial" w:hAnsi="Arial" w:cs="Arial"/>
        </w:rPr>
        <w:t xml:space="preserve">Executive staff </w:t>
      </w:r>
      <w:r w:rsidR="007A4AC0">
        <w:rPr>
          <w:rFonts w:ascii="Arial" w:hAnsi="Arial" w:cs="Arial"/>
        </w:rPr>
        <w:t>emphasize</w:t>
      </w:r>
      <w:r>
        <w:rPr>
          <w:rFonts w:ascii="Arial" w:hAnsi="Arial" w:cs="Arial"/>
        </w:rPr>
        <w:t xml:space="preserve"> that cities and </w:t>
      </w:r>
      <w:r w:rsidR="00322D2A">
        <w:rPr>
          <w:rFonts w:ascii="Arial" w:hAnsi="Arial" w:cs="Arial"/>
        </w:rPr>
        <w:t>haulers</w:t>
      </w:r>
      <w:r>
        <w:rPr>
          <w:rFonts w:ascii="Arial" w:hAnsi="Arial" w:cs="Arial"/>
        </w:rPr>
        <w:t xml:space="preserve"> have expressed a need for certainty </w:t>
      </w:r>
      <w:r w:rsidR="00322D2A">
        <w:rPr>
          <w:rFonts w:ascii="Arial" w:hAnsi="Arial" w:cs="Arial"/>
        </w:rPr>
        <w:t xml:space="preserve">on the fee structure to be used in 2023 </w:t>
      </w:r>
      <w:r>
        <w:rPr>
          <w:rFonts w:ascii="Arial" w:hAnsi="Arial" w:cs="Arial"/>
        </w:rPr>
        <w:t xml:space="preserve">and </w:t>
      </w:r>
      <w:r w:rsidR="007A4AC0">
        <w:rPr>
          <w:rFonts w:ascii="Arial" w:hAnsi="Arial" w:cs="Arial"/>
        </w:rPr>
        <w:t xml:space="preserve">require </w:t>
      </w:r>
      <w:r w:rsidR="00322D2A">
        <w:rPr>
          <w:rFonts w:ascii="Arial" w:hAnsi="Arial" w:cs="Arial"/>
        </w:rPr>
        <w:t xml:space="preserve">at least nine </w:t>
      </w:r>
      <w:r w:rsidR="001A0438">
        <w:rPr>
          <w:rFonts w:ascii="Arial" w:hAnsi="Arial" w:cs="Arial"/>
        </w:rPr>
        <w:t>months' notice</w:t>
      </w:r>
      <w:r>
        <w:rPr>
          <w:rFonts w:ascii="Arial" w:hAnsi="Arial" w:cs="Arial"/>
        </w:rPr>
        <w:t xml:space="preserve"> so that they can begin to update their billing systems and contracts.</w:t>
      </w:r>
      <w:r w:rsidR="00E17B1A">
        <w:rPr>
          <w:rFonts w:ascii="Arial" w:hAnsi="Arial" w:cs="Arial"/>
        </w:rPr>
        <w:t xml:space="preserve"> </w:t>
      </w:r>
      <w:r w:rsidR="00CB2A94">
        <w:rPr>
          <w:rFonts w:ascii="Arial" w:hAnsi="Arial" w:cs="Arial"/>
        </w:rPr>
        <w:t xml:space="preserve"> </w:t>
      </w:r>
    </w:p>
    <w:p w14:paraId="2D2EA225" w14:textId="710F3BFB" w:rsidR="00E17B1A" w:rsidRDefault="00E17B1A" w:rsidP="00FF3B74">
      <w:pPr>
        <w:keepNext/>
        <w:jc w:val="both"/>
        <w:rPr>
          <w:rFonts w:ascii="Arial" w:hAnsi="Arial" w:cs="Arial"/>
        </w:rPr>
      </w:pPr>
    </w:p>
    <w:p w14:paraId="566B28B4" w14:textId="2EBC80F0" w:rsidR="00CB2A94" w:rsidRDefault="00AC2C14" w:rsidP="00FF3B74">
      <w:pPr>
        <w:keepNext/>
        <w:jc w:val="both"/>
        <w:rPr>
          <w:rFonts w:ascii="Arial" w:hAnsi="Arial" w:cs="Arial"/>
          <w:szCs w:val="24"/>
        </w:rPr>
      </w:pPr>
      <w:r>
        <w:rPr>
          <w:rFonts w:ascii="Arial" w:hAnsi="Arial" w:cs="Arial"/>
          <w:szCs w:val="24"/>
        </w:rPr>
        <w:t xml:space="preserve">This ordinance has a ten-day public noticing requirement and therefore it would not be possible to expedite this legislation and complete the noticing period. </w:t>
      </w:r>
    </w:p>
    <w:p w14:paraId="11086DF5" w14:textId="77777777" w:rsidR="00AC2C14" w:rsidRDefault="00AC2C14" w:rsidP="00FF3B74">
      <w:pPr>
        <w:keepNext/>
        <w:jc w:val="both"/>
        <w:rPr>
          <w:rFonts w:ascii="Arial" w:hAnsi="Arial" w:cs="Arial"/>
        </w:rPr>
      </w:pPr>
    </w:p>
    <w:p w14:paraId="0D88BEC9" w14:textId="1E88047B" w:rsidR="00F17DB1" w:rsidRPr="009304E0" w:rsidRDefault="00634B3D" w:rsidP="00E17B1A">
      <w:pPr>
        <w:keepNext/>
        <w:jc w:val="both"/>
        <w:rPr>
          <w:rFonts w:ascii="Arial" w:hAnsi="Arial" w:cs="Arial"/>
        </w:rPr>
      </w:pPr>
      <w:r>
        <w:rPr>
          <w:rFonts w:ascii="Arial" w:hAnsi="Arial" w:cs="Arial"/>
        </w:rPr>
        <w:t xml:space="preserve">By approving the proposed ordinance, </w:t>
      </w:r>
      <w:r w:rsidR="00E17B1A">
        <w:rPr>
          <w:rFonts w:ascii="Arial" w:hAnsi="Arial" w:cs="Arial"/>
        </w:rPr>
        <w:t xml:space="preserve">the Council </w:t>
      </w:r>
      <w:r w:rsidR="00AC2C14">
        <w:rPr>
          <w:rFonts w:ascii="Arial" w:hAnsi="Arial" w:cs="Arial"/>
        </w:rPr>
        <w:t>would be</w:t>
      </w:r>
      <w:r w:rsidR="00E17B1A">
        <w:rPr>
          <w:rFonts w:ascii="Arial" w:hAnsi="Arial" w:cs="Arial"/>
        </w:rPr>
        <w:t xml:space="preserve"> authorizing the </w:t>
      </w:r>
      <w:r w:rsidR="00CB2A94">
        <w:rPr>
          <w:rFonts w:ascii="Arial" w:hAnsi="Arial" w:cs="Arial"/>
        </w:rPr>
        <w:t xml:space="preserve">new fee structure </w:t>
      </w:r>
      <w:r w:rsidR="00F1073D">
        <w:rPr>
          <w:rFonts w:ascii="Arial" w:hAnsi="Arial" w:cs="Arial"/>
        </w:rPr>
        <w:t xml:space="preserve">described in this staff report and </w:t>
      </w:r>
      <w:r w:rsidR="00E17B1A">
        <w:rPr>
          <w:rFonts w:ascii="Arial" w:hAnsi="Arial" w:cs="Arial"/>
        </w:rPr>
        <w:t xml:space="preserve">fee amounts </w:t>
      </w:r>
      <w:r w:rsidR="00AC2C14">
        <w:rPr>
          <w:rFonts w:ascii="Arial" w:hAnsi="Arial" w:cs="Arial"/>
        </w:rPr>
        <w:t xml:space="preserve">in Table </w:t>
      </w:r>
      <w:r w:rsidR="00B66B95">
        <w:rPr>
          <w:rFonts w:ascii="Arial" w:hAnsi="Arial" w:cs="Arial"/>
        </w:rPr>
        <w:t>4</w:t>
      </w:r>
      <w:r w:rsidR="00AC2C14">
        <w:rPr>
          <w:rFonts w:ascii="Arial" w:hAnsi="Arial" w:cs="Arial"/>
        </w:rPr>
        <w:t xml:space="preserve"> to</w:t>
      </w:r>
      <w:r w:rsidR="00E17B1A">
        <w:rPr>
          <w:rFonts w:ascii="Arial" w:hAnsi="Arial" w:cs="Arial"/>
        </w:rPr>
        <w:t xml:space="preserve"> go into effect on January 1, 2023. However, as described, </w:t>
      </w:r>
      <w:r w:rsidR="00AC2C14">
        <w:rPr>
          <w:rFonts w:ascii="Arial" w:hAnsi="Arial" w:cs="Arial"/>
        </w:rPr>
        <w:t xml:space="preserve">Executive staff anticipate transmitting a 2023-2024 fee ordinance </w:t>
      </w:r>
      <w:r w:rsidR="00B66B95">
        <w:rPr>
          <w:rFonts w:ascii="Arial" w:hAnsi="Arial" w:cs="Arial"/>
        </w:rPr>
        <w:t xml:space="preserve">later this year </w:t>
      </w:r>
      <w:r w:rsidR="00AC2C14">
        <w:rPr>
          <w:rFonts w:ascii="Arial" w:hAnsi="Arial" w:cs="Arial"/>
        </w:rPr>
        <w:t xml:space="preserve">after completion of budget development work. Therefore, it is possible that </w:t>
      </w:r>
      <w:r w:rsidR="00E17B1A">
        <w:rPr>
          <w:rFonts w:ascii="Arial" w:hAnsi="Arial" w:cs="Arial"/>
        </w:rPr>
        <w:t>the specific fee amounts included in this ordinance may not ultimately go into effect i</w:t>
      </w:r>
      <w:r w:rsidR="00AC2C14">
        <w:rPr>
          <w:rFonts w:ascii="Arial" w:hAnsi="Arial" w:cs="Arial"/>
        </w:rPr>
        <w:t>f</w:t>
      </w:r>
      <w:r w:rsidR="00E17B1A">
        <w:rPr>
          <w:rFonts w:ascii="Arial" w:hAnsi="Arial" w:cs="Arial"/>
        </w:rPr>
        <w:t xml:space="preserve"> the Council approves a 2023-2024 fee ordinance later this year with different fee amounts. </w:t>
      </w:r>
    </w:p>
    <w:p w14:paraId="2FBDDEB2" w14:textId="77777777" w:rsidR="00DE04B2" w:rsidRDefault="00DE04B2" w:rsidP="00FF3B74">
      <w:pPr>
        <w:keepNext/>
        <w:jc w:val="both"/>
        <w:rPr>
          <w:rFonts w:ascii="Arial" w:hAnsi="Arial" w:cs="Arial"/>
        </w:rPr>
      </w:pPr>
    </w:p>
    <w:p w14:paraId="432E4F1E"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629E0B23" w14:textId="77777777" w:rsidR="00074A56" w:rsidRDefault="00074A56" w:rsidP="00E17B1A">
      <w:pPr>
        <w:pStyle w:val="BodyText"/>
        <w:widowControl w:val="0"/>
        <w:jc w:val="both"/>
        <w:rPr>
          <w:rFonts w:ascii="Arial" w:hAnsi="Arial" w:cs="Arial"/>
          <w:i w:val="0"/>
          <w:szCs w:val="24"/>
        </w:rPr>
      </w:pPr>
    </w:p>
    <w:p w14:paraId="10C273FF" w14:textId="003147FC" w:rsidR="005909B4" w:rsidRDefault="005909B4" w:rsidP="00E17B1A">
      <w:pPr>
        <w:widowControl w:val="0"/>
        <w:jc w:val="both"/>
        <w:rPr>
          <w:rFonts w:ascii="Arial" w:hAnsi="Arial" w:cs="Arial"/>
        </w:rPr>
      </w:pPr>
      <w:r>
        <w:rPr>
          <w:rFonts w:ascii="Arial" w:hAnsi="Arial" w:cs="Arial"/>
        </w:rPr>
        <w:t xml:space="preserve">To implement the fee restructure, the transmitted ordinance would add the new defined terms in King County Code Title 10 of </w:t>
      </w:r>
      <w:r w:rsidRPr="00E17B1A">
        <w:rPr>
          <w:rFonts w:ascii="Arial" w:hAnsi="Arial" w:cs="Arial"/>
          <w:i/>
          <w:iCs/>
        </w:rPr>
        <w:t>billing entity</w:t>
      </w:r>
      <w:r>
        <w:rPr>
          <w:rFonts w:ascii="Arial" w:hAnsi="Arial" w:cs="Arial"/>
        </w:rPr>
        <w:t xml:space="preserve">, </w:t>
      </w:r>
      <w:r w:rsidRPr="00E17B1A">
        <w:rPr>
          <w:rFonts w:ascii="Arial" w:hAnsi="Arial" w:cs="Arial"/>
          <w:i/>
          <w:iCs/>
        </w:rPr>
        <w:t>fixed-annual charge</w:t>
      </w:r>
      <w:r>
        <w:rPr>
          <w:rFonts w:ascii="Arial" w:hAnsi="Arial" w:cs="Arial"/>
        </w:rPr>
        <w:t xml:space="preserve">, and </w:t>
      </w:r>
      <w:r w:rsidRPr="00E17B1A">
        <w:rPr>
          <w:rFonts w:ascii="Arial" w:hAnsi="Arial" w:cs="Arial"/>
          <w:i/>
          <w:iCs/>
        </w:rPr>
        <w:t>service area</w:t>
      </w:r>
      <w:r>
        <w:rPr>
          <w:rFonts w:ascii="Arial" w:hAnsi="Arial" w:cs="Arial"/>
        </w:rPr>
        <w:t xml:space="preserve">, as well as provide a formula for the calculation of each billing entity's share of the fixed-annual charge for each service area. In conversations </w:t>
      </w:r>
      <w:r w:rsidR="00B66B95">
        <w:rPr>
          <w:rFonts w:ascii="Arial" w:hAnsi="Arial" w:cs="Arial"/>
        </w:rPr>
        <w:t xml:space="preserve">between </w:t>
      </w:r>
      <w:r w:rsidR="00A3254F">
        <w:rPr>
          <w:rFonts w:ascii="Arial" w:hAnsi="Arial" w:cs="Arial"/>
        </w:rPr>
        <w:t>Executive staff</w:t>
      </w:r>
      <w:r w:rsidR="00B66B95">
        <w:rPr>
          <w:rFonts w:ascii="Arial" w:hAnsi="Arial" w:cs="Arial"/>
        </w:rPr>
        <w:t xml:space="preserve"> and Council staff</w:t>
      </w:r>
      <w:r>
        <w:rPr>
          <w:rFonts w:ascii="Arial" w:hAnsi="Arial" w:cs="Arial"/>
        </w:rPr>
        <w:t>,</w:t>
      </w:r>
      <w:r w:rsidR="00A3254F">
        <w:rPr>
          <w:rFonts w:ascii="Arial" w:hAnsi="Arial" w:cs="Arial"/>
        </w:rPr>
        <w:t xml:space="preserve"> </w:t>
      </w:r>
      <w:r w:rsidR="00B66B95">
        <w:rPr>
          <w:rFonts w:ascii="Arial" w:hAnsi="Arial" w:cs="Arial"/>
        </w:rPr>
        <w:t>some necessary revisions to the transmitted ordinance were</w:t>
      </w:r>
      <w:r>
        <w:rPr>
          <w:rFonts w:ascii="Arial" w:hAnsi="Arial" w:cs="Arial"/>
        </w:rPr>
        <w:t xml:space="preserve"> identified to match the proposed code language with Executive staff intent. The primary issues that were identified are summarized below:</w:t>
      </w:r>
    </w:p>
    <w:p w14:paraId="01C16971" w14:textId="77777777" w:rsidR="00E17B1A" w:rsidRDefault="00E17B1A" w:rsidP="00E17B1A">
      <w:pPr>
        <w:widowControl w:val="0"/>
        <w:jc w:val="both"/>
        <w:rPr>
          <w:rFonts w:ascii="Arial" w:hAnsi="Arial" w:cs="Arial"/>
        </w:rPr>
      </w:pPr>
    </w:p>
    <w:p w14:paraId="6FC8C790" w14:textId="77777777" w:rsidR="00E17B1A" w:rsidRDefault="005909B4" w:rsidP="00E17B1A">
      <w:pPr>
        <w:pStyle w:val="ListParagraph0"/>
        <w:widowControl w:val="0"/>
        <w:numPr>
          <w:ilvl w:val="0"/>
          <w:numId w:val="9"/>
        </w:numPr>
        <w:jc w:val="both"/>
        <w:rPr>
          <w:rFonts w:ascii="Arial" w:hAnsi="Arial" w:cs="Arial"/>
        </w:rPr>
      </w:pPr>
      <w:r w:rsidRPr="00E17B1A">
        <w:rPr>
          <w:rFonts w:ascii="Arial" w:hAnsi="Arial" w:cs="Arial"/>
        </w:rPr>
        <w:t xml:space="preserve">Executive staff intended for a billing entity's share of the FAC to be calculated using tons of </w:t>
      </w:r>
      <w:r w:rsidRPr="00E17B1A">
        <w:rPr>
          <w:rFonts w:ascii="Arial" w:hAnsi="Arial" w:cs="Arial"/>
          <w:i/>
          <w:iCs/>
        </w:rPr>
        <w:t>municipal solid waste (MSW)</w:t>
      </w:r>
      <w:r>
        <w:rPr>
          <w:rStyle w:val="FootnoteReference"/>
          <w:rFonts w:ascii="Arial" w:hAnsi="Arial" w:cs="Arial"/>
        </w:rPr>
        <w:footnoteReference w:id="16"/>
      </w:r>
      <w:r w:rsidRPr="00E17B1A">
        <w:rPr>
          <w:rFonts w:ascii="Arial" w:hAnsi="Arial" w:cs="Arial"/>
        </w:rPr>
        <w:t xml:space="preserve"> and not </w:t>
      </w:r>
      <w:r w:rsidRPr="00E17B1A">
        <w:rPr>
          <w:rFonts w:ascii="Arial" w:hAnsi="Arial" w:cs="Arial"/>
          <w:i/>
          <w:iCs/>
        </w:rPr>
        <w:t>solid waste</w:t>
      </w:r>
      <w:r w:rsidRPr="00E17B1A">
        <w:rPr>
          <w:rFonts w:ascii="Arial" w:hAnsi="Arial" w:cs="Arial"/>
        </w:rPr>
        <w:t>,</w:t>
      </w:r>
      <w:r>
        <w:rPr>
          <w:rStyle w:val="FootnoteReference"/>
          <w:rFonts w:ascii="Arial" w:hAnsi="Arial" w:cs="Arial"/>
        </w:rPr>
        <w:footnoteReference w:id="17"/>
      </w:r>
      <w:r w:rsidRPr="00E17B1A">
        <w:rPr>
          <w:rFonts w:ascii="Arial" w:hAnsi="Arial" w:cs="Arial"/>
        </w:rPr>
        <w:t xml:space="preserve"> which is a much broader term that</w:t>
      </w:r>
      <w:r w:rsidR="00E17B1A" w:rsidRPr="00E17B1A">
        <w:rPr>
          <w:rFonts w:ascii="Arial" w:hAnsi="Arial" w:cs="Arial"/>
        </w:rPr>
        <w:t>, for example,</w:t>
      </w:r>
      <w:r w:rsidRPr="00E17B1A">
        <w:rPr>
          <w:rFonts w:ascii="Arial" w:hAnsi="Arial" w:cs="Arial"/>
        </w:rPr>
        <w:t xml:space="preserve"> includes construction and demolition waste</w:t>
      </w:r>
      <w:r w:rsidR="00A3254F" w:rsidRPr="00E17B1A">
        <w:rPr>
          <w:rFonts w:ascii="Arial" w:hAnsi="Arial" w:cs="Arial"/>
        </w:rPr>
        <w:t xml:space="preserve">. </w:t>
      </w:r>
      <w:r w:rsidR="00E17B1A" w:rsidRPr="00E17B1A">
        <w:rPr>
          <w:rFonts w:ascii="Arial" w:hAnsi="Arial" w:cs="Arial"/>
        </w:rPr>
        <w:t>According to Executive staff, t</w:t>
      </w:r>
      <w:r w:rsidR="00A3254F" w:rsidRPr="00E17B1A">
        <w:rPr>
          <w:rFonts w:ascii="Arial" w:hAnsi="Arial" w:cs="Arial"/>
        </w:rPr>
        <w:t>he FAC calculation was</w:t>
      </w:r>
      <w:r w:rsidR="00881EC9" w:rsidRPr="00E17B1A">
        <w:rPr>
          <w:rFonts w:ascii="Arial" w:hAnsi="Arial" w:cs="Arial"/>
        </w:rPr>
        <w:t xml:space="preserve"> also intended to be limited to County-operated facilities and not encompass other solid waste facilities</w:t>
      </w:r>
      <w:r w:rsidRPr="00E17B1A">
        <w:rPr>
          <w:rFonts w:ascii="Arial" w:hAnsi="Arial" w:cs="Arial"/>
        </w:rPr>
        <w:t>;</w:t>
      </w:r>
      <w:r w:rsidR="00E17B1A" w:rsidRPr="00E17B1A">
        <w:rPr>
          <w:rFonts w:ascii="Arial" w:hAnsi="Arial" w:cs="Arial"/>
        </w:rPr>
        <w:t xml:space="preserve"> </w:t>
      </w:r>
    </w:p>
    <w:p w14:paraId="13746DF5" w14:textId="49BEC5C6" w:rsidR="005909B4" w:rsidRPr="00E17B1A" w:rsidRDefault="005909B4" w:rsidP="00E17B1A">
      <w:pPr>
        <w:pStyle w:val="ListParagraph0"/>
        <w:widowControl w:val="0"/>
        <w:numPr>
          <w:ilvl w:val="0"/>
          <w:numId w:val="9"/>
        </w:numPr>
        <w:jc w:val="both"/>
        <w:rPr>
          <w:rFonts w:ascii="Arial" w:hAnsi="Arial" w:cs="Arial"/>
        </w:rPr>
      </w:pPr>
      <w:r w:rsidRPr="00E17B1A">
        <w:rPr>
          <w:rFonts w:ascii="Arial" w:hAnsi="Arial" w:cs="Arial"/>
        </w:rPr>
        <w:t xml:space="preserve">Additionally, the calculation for a billing entity's share of the FAC and the associated terms were tied to the term </w:t>
      </w:r>
      <w:r w:rsidRPr="00E17B1A">
        <w:rPr>
          <w:rFonts w:ascii="Arial" w:hAnsi="Arial" w:cs="Arial"/>
          <w:i/>
          <w:iCs/>
        </w:rPr>
        <w:t>commercial hauler,</w:t>
      </w:r>
      <w:r>
        <w:rPr>
          <w:rStyle w:val="FootnoteReference"/>
          <w:rFonts w:ascii="Arial" w:hAnsi="Arial" w:cs="Arial"/>
          <w:i/>
          <w:iCs/>
        </w:rPr>
        <w:footnoteReference w:id="18"/>
      </w:r>
      <w:r w:rsidRPr="00E17B1A">
        <w:rPr>
          <w:rFonts w:ascii="Arial" w:hAnsi="Arial" w:cs="Arial"/>
          <w:i/>
          <w:iCs/>
        </w:rPr>
        <w:t xml:space="preserve"> </w:t>
      </w:r>
      <w:r w:rsidRPr="00E17B1A">
        <w:rPr>
          <w:rFonts w:ascii="Arial" w:hAnsi="Arial" w:cs="Arial"/>
        </w:rPr>
        <w:t>and therefore did not account for cities that provide solid waste collection using their own employees. Th</w:t>
      </w:r>
      <w:r w:rsidR="00B66B95">
        <w:rPr>
          <w:rFonts w:ascii="Arial" w:hAnsi="Arial" w:cs="Arial"/>
        </w:rPr>
        <w:t xml:space="preserve">e </w:t>
      </w:r>
      <w:r w:rsidR="00824D5D" w:rsidRPr="00E17B1A">
        <w:rPr>
          <w:rFonts w:ascii="Arial" w:hAnsi="Arial" w:cs="Arial"/>
        </w:rPr>
        <w:t xml:space="preserve">definition of </w:t>
      </w:r>
      <w:r w:rsidR="00B66B95">
        <w:rPr>
          <w:rFonts w:ascii="Arial" w:hAnsi="Arial" w:cs="Arial"/>
        </w:rPr>
        <w:t xml:space="preserve">commercial hauler in code </w:t>
      </w:r>
      <w:r w:rsidRPr="00E17B1A">
        <w:rPr>
          <w:rFonts w:ascii="Arial" w:hAnsi="Arial" w:cs="Arial"/>
        </w:rPr>
        <w:t>is also broader than was intended by Executive staff; and</w:t>
      </w:r>
    </w:p>
    <w:p w14:paraId="74AAF8C3" w14:textId="0A99C9ED" w:rsidR="005909B4" w:rsidRDefault="005909B4" w:rsidP="00E17B1A">
      <w:pPr>
        <w:pStyle w:val="ListParagraph0"/>
        <w:widowControl w:val="0"/>
        <w:numPr>
          <w:ilvl w:val="0"/>
          <w:numId w:val="9"/>
        </w:numPr>
        <w:jc w:val="both"/>
        <w:rPr>
          <w:rFonts w:ascii="Arial" w:hAnsi="Arial" w:cs="Arial"/>
        </w:rPr>
      </w:pPr>
      <w:r>
        <w:rPr>
          <w:rFonts w:ascii="Arial" w:hAnsi="Arial" w:cs="Arial"/>
        </w:rPr>
        <w:t>A self-hauler fee for the Cedar Hills Regional Landfill was inadvertently included</w:t>
      </w:r>
      <w:r w:rsidR="00E17B1A">
        <w:rPr>
          <w:rFonts w:ascii="Arial" w:hAnsi="Arial" w:cs="Arial"/>
        </w:rPr>
        <w:t xml:space="preserve"> in the transmittal</w:t>
      </w:r>
      <w:r>
        <w:rPr>
          <w:rFonts w:ascii="Arial" w:hAnsi="Arial" w:cs="Arial"/>
        </w:rPr>
        <w:t>.</w:t>
      </w:r>
    </w:p>
    <w:p w14:paraId="5E1649D9" w14:textId="77777777" w:rsidR="005909B4" w:rsidRPr="00985A70" w:rsidRDefault="005909B4" w:rsidP="00E17B1A">
      <w:pPr>
        <w:widowControl w:val="0"/>
        <w:jc w:val="both"/>
        <w:rPr>
          <w:rFonts w:ascii="Arial" w:hAnsi="Arial" w:cs="Arial"/>
        </w:rPr>
      </w:pPr>
    </w:p>
    <w:p w14:paraId="6E8F87B9" w14:textId="1F00E8A1" w:rsidR="00575B03" w:rsidRDefault="00330F9F" w:rsidP="00E17B1A">
      <w:pPr>
        <w:pStyle w:val="BodyText"/>
        <w:widowControl w:val="0"/>
        <w:jc w:val="both"/>
        <w:rPr>
          <w:rFonts w:ascii="Arial" w:hAnsi="Arial" w:cs="Arial"/>
          <w:i w:val="0"/>
          <w:szCs w:val="24"/>
        </w:rPr>
      </w:pPr>
      <w:r>
        <w:rPr>
          <w:rFonts w:ascii="Arial" w:hAnsi="Arial" w:cs="Arial"/>
          <w:b/>
          <w:bCs/>
          <w:i w:val="0"/>
          <w:szCs w:val="24"/>
        </w:rPr>
        <w:t xml:space="preserve">Striking Amendment S1 </w:t>
      </w:r>
      <w:r>
        <w:rPr>
          <w:rFonts w:ascii="Arial" w:hAnsi="Arial" w:cs="Arial"/>
          <w:i w:val="0"/>
          <w:szCs w:val="24"/>
        </w:rPr>
        <w:t xml:space="preserve">would </w:t>
      </w:r>
      <w:r w:rsidR="00824D5D">
        <w:rPr>
          <w:rFonts w:ascii="Arial" w:hAnsi="Arial" w:cs="Arial"/>
          <w:i w:val="0"/>
          <w:szCs w:val="24"/>
        </w:rPr>
        <w:t xml:space="preserve">address these issues and </w:t>
      </w:r>
      <w:r>
        <w:rPr>
          <w:rFonts w:ascii="Arial" w:hAnsi="Arial" w:cs="Arial"/>
          <w:i w:val="0"/>
          <w:szCs w:val="24"/>
        </w:rPr>
        <w:t>make clarifying edits to the proposed ordinance developed in collaboration with Executive staff</w:t>
      </w:r>
      <w:r w:rsidR="00824D5D">
        <w:rPr>
          <w:rFonts w:ascii="Arial" w:hAnsi="Arial" w:cs="Arial"/>
          <w:i w:val="0"/>
          <w:szCs w:val="24"/>
        </w:rPr>
        <w:t>.</w:t>
      </w:r>
      <w:r w:rsidR="004279C8">
        <w:rPr>
          <w:rFonts w:ascii="Arial" w:hAnsi="Arial" w:cs="Arial"/>
          <w:i w:val="0"/>
          <w:szCs w:val="24"/>
        </w:rPr>
        <w:t xml:space="preserve"> Specifically, S1 would:</w:t>
      </w:r>
    </w:p>
    <w:p w14:paraId="3FEA9775" w14:textId="25C13088" w:rsidR="004279C8" w:rsidRDefault="004279C8" w:rsidP="00E17B1A">
      <w:pPr>
        <w:pStyle w:val="BodyText"/>
        <w:widowControl w:val="0"/>
        <w:jc w:val="both"/>
        <w:rPr>
          <w:rFonts w:ascii="Arial" w:hAnsi="Arial" w:cs="Arial"/>
          <w:i w:val="0"/>
          <w:szCs w:val="24"/>
        </w:rPr>
      </w:pPr>
    </w:p>
    <w:p w14:paraId="7F6FA0C0" w14:textId="3ED8A08F" w:rsidR="004279C8" w:rsidRDefault="004279C8" w:rsidP="00E17B1A">
      <w:pPr>
        <w:pStyle w:val="BodyText"/>
        <w:widowControl w:val="0"/>
        <w:numPr>
          <w:ilvl w:val="0"/>
          <w:numId w:val="10"/>
        </w:numPr>
        <w:jc w:val="both"/>
        <w:rPr>
          <w:rFonts w:ascii="Arial" w:hAnsi="Arial" w:cs="Arial"/>
          <w:i w:val="0"/>
          <w:szCs w:val="24"/>
        </w:rPr>
      </w:pPr>
      <w:r>
        <w:rPr>
          <w:rFonts w:ascii="Arial" w:hAnsi="Arial" w:cs="Arial"/>
          <w:i w:val="0"/>
          <w:szCs w:val="24"/>
        </w:rPr>
        <w:t xml:space="preserve">Revise language to clarify that the formula for the FAC is limited to </w:t>
      </w:r>
      <w:r w:rsidRPr="00E17B1A">
        <w:rPr>
          <w:rFonts w:ascii="Arial" w:hAnsi="Arial" w:cs="Arial"/>
          <w:iCs/>
          <w:szCs w:val="24"/>
        </w:rPr>
        <w:t xml:space="preserve">municipal </w:t>
      </w:r>
      <w:r w:rsidRPr="00E17B1A">
        <w:rPr>
          <w:rFonts w:ascii="Arial" w:hAnsi="Arial" w:cs="Arial"/>
          <w:iCs/>
          <w:szCs w:val="24"/>
        </w:rPr>
        <w:lastRenderedPageBreak/>
        <w:t>solid waste</w:t>
      </w:r>
      <w:r>
        <w:rPr>
          <w:rFonts w:ascii="Arial" w:hAnsi="Arial" w:cs="Arial"/>
          <w:i w:val="0"/>
          <w:szCs w:val="24"/>
        </w:rPr>
        <w:t xml:space="preserve"> deposited at County-operated facilities and</w:t>
      </w:r>
      <w:r w:rsidR="0075443B">
        <w:rPr>
          <w:rFonts w:ascii="Arial" w:hAnsi="Arial" w:cs="Arial"/>
          <w:i w:val="0"/>
          <w:szCs w:val="24"/>
        </w:rPr>
        <w:t xml:space="preserve"> does not include other types of solid waste deposited at other facilities;</w:t>
      </w:r>
    </w:p>
    <w:p w14:paraId="17946F35" w14:textId="49F73787" w:rsidR="0075443B" w:rsidRDefault="0075443B" w:rsidP="00E17B1A">
      <w:pPr>
        <w:pStyle w:val="BodyText"/>
        <w:widowControl w:val="0"/>
        <w:numPr>
          <w:ilvl w:val="0"/>
          <w:numId w:val="10"/>
        </w:numPr>
        <w:jc w:val="both"/>
        <w:rPr>
          <w:rFonts w:ascii="Arial" w:hAnsi="Arial" w:cs="Arial"/>
          <w:i w:val="0"/>
          <w:szCs w:val="24"/>
        </w:rPr>
      </w:pPr>
      <w:r>
        <w:rPr>
          <w:rFonts w:ascii="Arial" w:hAnsi="Arial" w:cs="Arial"/>
          <w:i w:val="0"/>
          <w:szCs w:val="24"/>
        </w:rPr>
        <w:t xml:space="preserve">Use the existing term </w:t>
      </w:r>
      <w:r>
        <w:rPr>
          <w:rFonts w:ascii="Arial" w:hAnsi="Arial" w:cs="Arial"/>
          <w:iCs/>
          <w:szCs w:val="24"/>
        </w:rPr>
        <w:t>solid waste collection entity</w:t>
      </w:r>
      <w:r w:rsidR="00C459FD">
        <w:rPr>
          <w:rStyle w:val="FootnoteReference"/>
          <w:rFonts w:ascii="Arial" w:hAnsi="Arial" w:cs="Arial"/>
          <w:iCs/>
          <w:szCs w:val="24"/>
        </w:rPr>
        <w:footnoteReference w:id="19"/>
      </w:r>
      <w:r>
        <w:rPr>
          <w:rFonts w:ascii="Arial" w:hAnsi="Arial" w:cs="Arial"/>
          <w:iCs/>
          <w:szCs w:val="24"/>
        </w:rPr>
        <w:t xml:space="preserve"> </w:t>
      </w:r>
      <w:r>
        <w:rPr>
          <w:rFonts w:ascii="Arial" w:hAnsi="Arial" w:cs="Arial"/>
          <w:i w:val="0"/>
          <w:szCs w:val="24"/>
        </w:rPr>
        <w:t xml:space="preserve">in the following definitions as opposed to </w:t>
      </w:r>
      <w:r>
        <w:rPr>
          <w:rFonts w:ascii="Arial" w:hAnsi="Arial" w:cs="Arial"/>
          <w:iCs/>
          <w:szCs w:val="24"/>
        </w:rPr>
        <w:t>commercial hauler</w:t>
      </w:r>
      <w:r w:rsidR="00C21A59">
        <w:rPr>
          <w:rFonts w:ascii="Arial" w:hAnsi="Arial" w:cs="Arial"/>
          <w:i w:val="0"/>
          <w:szCs w:val="24"/>
        </w:rPr>
        <w:t xml:space="preserve"> </w:t>
      </w:r>
      <w:r w:rsidR="00E17B1A">
        <w:rPr>
          <w:rFonts w:ascii="Arial" w:hAnsi="Arial" w:cs="Arial"/>
          <w:i w:val="0"/>
          <w:szCs w:val="24"/>
        </w:rPr>
        <w:t xml:space="preserve">in order </w:t>
      </w:r>
      <w:r w:rsidR="00C21A59">
        <w:rPr>
          <w:rFonts w:ascii="Arial" w:hAnsi="Arial" w:cs="Arial"/>
          <w:i w:val="0"/>
          <w:szCs w:val="24"/>
        </w:rPr>
        <w:t xml:space="preserve">to account for cities who </w:t>
      </w:r>
      <w:r w:rsidR="00E17B1A">
        <w:rPr>
          <w:rFonts w:ascii="Arial" w:hAnsi="Arial" w:cs="Arial"/>
          <w:i w:val="0"/>
          <w:szCs w:val="24"/>
        </w:rPr>
        <w:t xml:space="preserve">use </w:t>
      </w:r>
      <w:r w:rsidR="00C21A59">
        <w:rPr>
          <w:rFonts w:ascii="Arial" w:hAnsi="Arial" w:cs="Arial"/>
          <w:i w:val="0"/>
          <w:szCs w:val="24"/>
        </w:rPr>
        <w:t>their own employees for collection services</w:t>
      </w:r>
      <w:r>
        <w:rPr>
          <w:rFonts w:ascii="Arial" w:hAnsi="Arial" w:cs="Arial"/>
          <w:i w:val="0"/>
          <w:szCs w:val="24"/>
        </w:rPr>
        <w:t>, as well as make clarifying edits to conform</w:t>
      </w:r>
      <w:r w:rsidR="006F1513">
        <w:rPr>
          <w:rFonts w:ascii="Arial" w:hAnsi="Arial" w:cs="Arial"/>
          <w:i w:val="0"/>
          <w:szCs w:val="24"/>
        </w:rPr>
        <w:t xml:space="preserve"> to the Executive intent of the proposed ordinance: </w:t>
      </w:r>
      <w:r w:rsidR="006F1513" w:rsidRPr="00E17B1A">
        <w:rPr>
          <w:rFonts w:ascii="Arial" w:hAnsi="Arial" w:cs="Arial"/>
          <w:iCs/>
          <w:szCs w:val="24"/>
        </w:rPr>
        <w:t>billing entity, service area, fixed-annual charge</w:t>
      </w:r>
      <w:r w:rsidR="006F1513">
        <w:rPr>
          <w:rFonts w:ascii="Arial" w:hAnsi="Arial" w:cs="Arial"/>
          <w:i w:val="0"/>
          <w:szCs w:val="24"/>
        </w:rPr>
        <w:t>;</w:t>
      </w:r>
    </w:p>
    <w:p w14:paraId="2E5AFF18" w14:textId="76B0D2AA" w:rsidR="006F1513" w:rsidRDefault="00B97329" w:rsidP="00E17B1A">
      <w:pPr>
        <w:pStyle w:val="BodyText"/>
        <w:widowControl w:val="0"/>
        <w:numPr>
          <w:ilvl w:val="0"/>
          <w:numId w:val="10"/>
        </w:numPr>
        <w:jc w:val="both"/>
        <w:rPr>
          <w:rFonts w:ascii="Arial" w:hAnsi="Arial" w:cs="Arial"/>
          <w:i w:val="0"/>
          <w:szCs w:val="24"/>
        </w:rPr>
      </w:pPr>
      <w:r>
        <w:rPr>
          <w:rFonts w:ascii="Arial" w:hAnsi="Arial" w:cs="Arial"/>
          <w:i w:val="0"/>
          <w:szCs w:val="24"/>
        </w:rPr>
        <w:t xml:space="preserve">Make </w:t>
      </w:r>
      <w:r w:rsidR="00F04C21">
        <w:rPr>
          <w:rFonts w:ascii="Arial" w:hAnsi="Arial" w:cs="Arial"/>
          <w:i w:val="0"/>
          <w:szCs w:val="24"/>
        </w:rPr>
        <w:t>general</w:t>
      </w:r>
      <w:r>
        <w:rPr>
          <w:rFonts w:ascii="Arial" w:hAnsi="Arial" w:cs="Arial"/>
          <w:i w:val="0"/>
          <w:szCs w:val="24"/>
        </w:rPr>
        <w:t xml:space="preserve"> technical and grammatical edits; and</w:t>
      </w:r>
    </w:p>
    <w:p w14:paraId="3BB9E902" w14:textId="7FE22829" w:rsidR="00B97329" w:rsidRDefault="00B97329" w:rsidP="00E17B1A">
      <w:pPr>
        <w:pStyle w:val="BodyText"/>
        <w:widowControl w:val="0"/>
        <w:numPr>
          <w:ilvl w:val="0"/>
          <w:numId w:val="10"/>
        </w:numPr>
        <w:jc w:val="both"/>
        <w:rPr>
          <w:rFonts w:ascii="Arial" w:hAnsi="Arial" w:cs="Arial"/>
          <w:i w:val="0"/>
          <w:szCs w:val="24"/>
        </w:rPr>
      </w:pPr>
      <w:r>
        <w:rPr>
          <w:rFonts w:ascii="Arial" w:hAnsi="Arial" w:cs="Arial"/>
          <w:i w:val="0"/>
          <w:szCs w:val="24"/>
        </w:rPr>
        <w:t>Delete the self-hauler per-ton-rate vehicle fee for the Cedar Hills Regional Landfill, which Executive staff indicate was inadvertently included</w:t>
      </w:r>
      <w:r w:rsidR="00F04C21">
        <w:rPr>
          <w:rFonts w:ascii="Arial" w:hAnsi="Arial" w:cs="Arial"/>
          <w:i w:val="0"/>
          <w:szCs w:val="24"/>
        </w:rPr>
        <w:t xml:space="preserve"> in the transmittal</w:t>
      </w:r>
      <w:r>
        <w:rPr>
          <w:rFonts w:ascii="Arial" w:hAnsi="Arial" w:cs="Arial"/>
          <w:i w:val="0"/>
          <w:szCs w:val="24"/>
        </w:rPr>
        <w:t>.</w:t>
      </w:r>
    </w:p>
    <w:p w14:paraId="34A3E0EC" w14:textId="77777777" w:rsidR="00B97329" w:rsidRPr="00330F9F" w:rsidRDefault="00B97329" w:rsidP="00B97329">
      <w:pPr>
        <w:pStyle w:val="BodyText"/>
        <w:ind w:left="720"/>
        <w:jc w:val="both"/>
        <w:rPr>
          <w:rFonts w:ascii="Arial" w:hAnsi="Arial" w:cs="Arial"/>
          <w:i w:val="0"/>
          <w:szCs w:val="24"/>
        </w:rPr>
      </w:pPr>
    </w:p>
    <w:p w14:paraId="1356BC78" w14:textId="77777777" w:rsidR="00785660" w:rsidRPr="001C4B19" w:rsidRDefault="00785660" w:rsidP="0096718C">
      <w:pPr>
        <w:keepNext/>
        <w:jc w:val="both"/>
        <w:rPr>
          <w:rFonts w:ascii="Arial" w:hAnsi="Arial" w:cs="Arial"/>
          <w:b/>
          <w:szCs w:val="24"/>
          <w:u w:val="single"/>
        </w:rPr>
      </w:pPr>
      <w:r w:rsidRPr="001C4B19">
        <w:rPr>
          <w:rFonts w:ascii="Arial" w:hAnsi="Arial" w:cs="Arial"/>
          <w:b/>
          <w:szCs w:val="24"/>
          <w:u w:val="single"/>
        </w:rPr>
        <w:t>INVITED</w:t>
      </w:r>
    </w:p>
    <w:p w14:paraId="01890F9B" w14:textId="77777777" w:rsidR="00785660" w:rsidRPr="001C4B19" w:rsidRDefault="00785660" w:rsidP="0096718C">
      <w:pPr>
        <w:keepNext/>
        <w:jc w:val="both"/>
        <w:rPr>
          <w:rFonts w:ascii="Arial" w:hAnsi="Arial" w:cs="Arial"/>
          <w:szCs w:val="24"/>
        </w:rPr>
      </w:pPr>
    </w:p>
    <w:p w14:paraId="02284FC8" w14:textId="674AAD2F" w:rsidR="00785660" w:rsidRDefault="007628CF" w:rsidP="009C29EA">
      <w:pPr>
        <w:pStyle w:val="ListParagraph0"/>
        <w:keepNext/>
        <w:numPr>
          <w:ilvl w:val="0"/>
          <w:numId w:val="4"/>
        </w:numPr>
        <w:spacing w:line="240" w:lineRule="auto"/>
        <w:jc w:val="both"/>
        <w:rPr>
          <w:rFonts w:ascii="Arial" w:hAnsi="Arial" w:cs="Arial"/>
        </w:rPr>
      </w:pPr>
      <w:r>
        <w:rPr>
          <w:rFonts w:ascii="Arial" w:hAnsi="Arial" w:cs="Arial"/>
        </w:rPr>
        <w:t>Pat McLaughlin</w:t>
      </w:r>
      <w:r w:rsidR="00785660" w:rsidRPr="001C4B19">
        <w:rPr>
          <w:rFonts w:ascii="Arial" w:hAnsi="Arial" w:cs="Arial"/>
        </w:rPr>
        <w:t xml:space="preserve">, </w:t>
      </w:r>
      <w:r>
        <w:rPr>
          <w:rFonts w:ascii="Arial" w:hAnsi="Arial" w:cs="Arial"/>
        </w:rPr>
        <w:t>Director</w:t>
      </w:r>
      <w:r w:rsidR="00785660" w:rsidRPr="001C4B19">
        <w:rPr>
          <w:rFonts w:ascii="Arial" w:hAnsi="Arial" w:cs="Arial"/>
        </w:rPr>
        <w:t xml:space="preserve">, </w:t>
      </w:r>
      <w:r>
        <w:rPr>
          <w:rFonts w:ascii="Arial" w:hAnsi="Arial" w:cs="Arial"/>
        </w:rPr>
        <w:t>Solid Waste Division</w:t>
      </w:r>
    </w:p>
    <w:p w14:paraId="36E2D8BD" w14:textId="02308305" w:rsidR="00682817" w:rsidRDefault="00682817" w:rsidP="009C29EA">
      <w:pPr>
        <w:pStyle w:val="ListParagraph0"/>
        <w:keepNext/>
        <w:numPr>
          <w:ilvl w:val="0"/>
          <w:numId w:val="4"/>
        </w:numPr>
        <w:spacing w:line="240" w:lineRule="auto"/>
        <w:jc w:val="both"/>
        <w:rPr>
          <w:rFonts w:ascii="Arial" w:hAnsi="Arial" w:cs="Arial"/>
        </w:rPr>
      </w:pPr>
      <w:r>
        <w:rPr>
          <w:rFonts w:ascii="Arial" w:hAnsi="Arial" w:cs="Arial"/>
        </w:rPr>
        <w:t>John Walsh</w:t>
      </w:r>
      <w:r w:rsidR="00C459FD">
        <w:rPr>
          <w:rFonts w:ascii="Arial" w:hAnsi="Arial" w:cs="Arial"/>
        </w:rPr>
        <w:t>,</w:t>
      </w:r>
      <w:r w:rsidR="00EE735F">
        <w:rPr>
          <w:rFonts w:ascii="Arial" w:hAnsi="Arial" w:cs="Arial"/>
        </w:rPr>
        <w:t xml:space="preserve"> Strategy, Communications &amp; Performance Section Manager, Solid Waste Division</w:t>
      </w:r>
      <w:r w:rsidR="00C459FD">
        <w:rPr>
          <w:rFonts w:ascii="Arial" w:hAnsi="Arial" w:cs="Arial"/>
        </w:rPr>
        <w:t xml:space="preserve"> </w:t>
      </w:r>
    </w:p>
    <w:p w14:paraId="1435522D" w14:textId="006D9367" w:rsidR="00EE735F" w:rsidRDefault="00EE735F" w:rsidP="00EE735F">
      <w:pPr>
        <w:keepNext/>
        <w:jc w:val="both"/>
        <w:rPr>
          <w:rFonts w:ascii="Arial" w:hAnsi="Arial" w:cs="Arial"/>
        </w:rPr>
      </w:pPr>
    </w:p>
    <w:p w14:paraId="3304AEE4"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5B478C">
      <w:pPr>
        <w:pStyle w:val="BodyText"/>
        <w:jc w:val="both"/>
        <w:rPr>
          <w:rFonts w:ascii="Arial" w:hAnsi="Arial" w:cs="Arial"/>
          <w:i w:val="0"/>
          <w:szCs w:val="24"/>
        </w:rPr>
      </w:pPr>
    </w:p>
    <w:p w14:paraId="480185CE" w14:textId="1E4A74E3" w:rsidR="004C241A" w:rsidRPr="001C4B19" w:rsidRDefault="00C521D8" w:rsidP="009C29EA">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85660">
        <w:rPr>
          <w:rFonts w:ascii="Arial" w:hAnsi="Arial" w:cs="Arial"/>
          <w:i w:val="0"/>
          <w:szCs w:val="24"/>
        </w:rPr>
        <w:t xml:space="preserve"> 20</w:t>
      </w:r>
      <w:r w:rsidR="00BF3258">
        <w:rPr>
          <w:rFonts w:ascii="Arial" w:hAnsi="Arial" w:cs="Arial"/>
          <w:i w:val="0"/>
          <w:szCs w:val="24"/>
        </w:rPr>
        <w:t>21</w:t>
      </w:r>
      <w:r w:rsidR="00785660">
        <w:rPr>
          <w:rFonts w:ascii="Arial" w:hAnsi="Arial" w:cs="Arial"/>
          <w:i w:val="0"/>
          <w:szCs w:val="24"/>
        </w:rPr>
        <w:t>-</w:t>
      </w:r>
      <w:r w:rsidRPr="001C4B19">
        <w:rPr>
          <w:rFonts w:ascii="Arial" w:hAnsi="Arial" w:cs="Arial"/>
          <w:i w:val="0"/>
          <w:szCs w:val="24"/>
        </w:rPr>
        <w:t>0</w:t>
      </w:r>
      <w:r w:rsidR="00BF3258">
        <w:rPr>
          <w:rFonts w:ascii="Arial" w:hAnsi="Arial" w:cs="Arial"/>
          <w:i w:val="0"/>
          <w:szCs w:val="24"/>
        </w:rPr>
        <w:t>449</w:t>
      </w:r>
      <w:r w:rsidR="00575B03" w:rsidRPr="001C4B19">
        <w:rPr>
          <w:rFonts w:ascii="Arial" w:hAnsi="Arial" w:cs="Arial"/>
          <w:i w:val="0"/>
          <w:szCs w:val="24"/>
        </w:rPr>
        <w:t xml:space="preserve"> (and its attachments)</w:t>
      </w:r>
    </w:p>
    <w:p w14:paraId="7D7712E3" w14:textId="76EBA5B4" w:rsidR="00664648" w:rsidRPr="001C4B19" w:rsidRDefault="00664648" w:rsidP="009C29EA">
      <w:pPr>
        <w:pStyle w:val="BodyText"/>
        <w:numPr>
          <w:ilvl w:val="0"/>
          <w:numId w:val="1"/>
        </w:numPr>
        <w:jc w:val="both"/>
        <w:rPr>
          <w:rFonts w:ascii="Arial" w:hAnsi="Arial" w:cs="Arial"/>
          <w:i w:val="0"/>
          <w:szCs w:val="24"/>
        </w:rPr>
      </w:pPr>
      <w:r w:rsidRPr="001C4B19">
        <w:rPr>
          <w:rFonts w:ascii="Arial" w:hAnsi="Arial" w:cs="Arial"/>
          <w:i w:val="0"/>
          <w:szCs w:val="24"/>
        </w:rPr>
        <w:t>Amendment</w:t>
      </w:r>
      <w:r>
        <w:rPr>
          <w:rFonts w:ascii="Arial" w:hAnsi="Arial" w:cs="Arial"/>
          <w:i w:val="0"/>
          <w:szCs w:val="24"/>
        </w:rPr>
        <w:t xml:space="preserve"> </w:t>
      </w:r>
      <w:r w:rsidR="00B11C57">
        <w:rPr>
          <w:rFonts w:ascii="Arial" w:hAnsi="Arial" w:cs="Arial"/>
          <w:i w:val="0"/>
          <w:szCs w:val="24"/>
        </w:rPr>
        <w:t>S1</w:t>
      </w:r>
    </w:p>
    <w:p w14:paraId="5C1C939C" w14:textId="77777777" w:rsidR="00C521D8" w:rsidRPr="001C4B19" w:rsidRDefault="00C521D8" w:rsidP="009C29EA">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4F57BF55" w14:textId="77777777" w:rsidR="00C521D8" w:rsidRDefault="00C521D8" w:rsidP="009C29EA">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5515B436" w14:textId="57A3C4B8" w:rsidR="00C521D8" w:rsidRDefault="008F6B1D" w:rsidP="009C29EA">
      <w:pPr>
        <w:pStyle w:val="BodyText"/>
        <w:numPr>
          <w:ilvl w:val="0"/>
          <w:numId w:val="1"/>
        </w:numPr>
        <w:jc w:val="both"/>
        <w:rPr>
          <w:rFonts w:ascii="Arial" w:hAnsi="Arial" w:cs="Arial"/>
          <w:i w:val="0"/>
          <w:szCs w:val="24"/>
        </w:rPr>
      </w:pPr>
      <w:r>
        <w:rPr>
          <w:rFonts w:ascii="Arial" w:hAnsi="Arial" w:cs="Arial"/>
          <w:i w:val="0"/>
          <w:szCs w:val="24"/>
        </w:rPr>
        <w:t>Metropolitan Solid Waste (Management)</w:t>
      </w:r>
      <w:r w:rsidR="00E6768C">
        <w:rPr>
          <w:rFonts w:ascii="Arial" w:hAnsi="Arial" w:cs="Arial"/>
          <w:i w:val="0"/>
          <w:szCs w:val="24"/>
        </w:rPr>
        <w:t xml:space="preserve"> Advisory Committee - Advisory Note</w:t>
      </w:r>
    </w:p>
    <w:p w14:paraId="40BEA15B" w14:textId="122AB9BE" w:rsidR="00E6768C" w:rsidRDefault="000E17E0" w:rsidP="009C29EA">
      <w:pPr>
        <w:pStyle w:val="BodyText"/>
        <w:numPr>
          <w:ilvl w:val="0"/>
          <w:numId w:val="1"/>
        </w:numPr>
        <w:jc w:val="both"/>
        <w:rPr>
          <w:rFonts w:ascii="Arial" w:hAnsi="Arial" w:cs="Arial"/>
          <w:i w:val="0"/>
          <w:szCs w:val="24"/>
        </w:rPr>
      </w:pPr>
      <w:r>
        <w:rPr>
          <w:rFonts w:ascii="Arial" w:hAnsi="Arial" w:cs="Arial"/>
          <w:i w:val="0"/>
          <w:szCs w:val="24"/>
        </w:rPr>
        <w:t>Solid Waste Advisory Committee - Advisory Note</w:t>
      </w:r>
    </w:p>
    <w:p w14:paraId="3CAF6BEF" w14:textId="77777777" w:rsidR="006D4045" w:rsidRDefault="006D4045" w:rsidP="006D4045">
      <w:pPr>
        <w:pStyle w:val="BodyText"/>
        <w:jc w:val="both"/>
        <w:rPr>
          <w:rFonts w:ascii="Arial" w:hAnsi="Arial" w:cs="Arial"/>
          <w:i w:val="0"/>
          <w:szCs w:val="24"/>
        </w:rPr>
      </w:pPr>
    </w:p>
    <w:sectPr w:rsidR="006D4045"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C09E0" w14:textId="77777777" w:rsidR="00A37F8C" w:rsidRDefault="00A37F8C">
      <w:r>
        <w:separator/>
      </w:r>
    </w:p>
  </w:endnote>
  <w:endnote w:type="continuationSeparator" w:id="0">
    <w:p w14:paraId="72AE8440" w14:textId="77777777" w:rsidR="00A37F8C" w:rsidRDefault="00A3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2E21"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646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146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7D23" w14:textId="77777777" w:rsidR="00A37F8C" w:rsidRDefault="00A37F8C">
      <w:r>
        <w:separator/>
      </w:r>
    </w:p>
  </w:footnote>
  <w:footnote w:type="continuationSeparator" w:id="0">
    <w:p w14:paraId="3C9F59E2" w14:textId="77777777" w:rsidR="00A37F8C" w:rsidRDefault="00A37F8C">
      <w:r>
        <w:continuationSeparator/>
      </w:r>
    </w:p>
  </w:footnote>
  <w:footnote w:id="1">
    <w:p w14:paraId="63146FB5" w14:textId="6DB0BED7" w:rsidR="00D676F3" w:rsidRPr="00292F72" w:rsidRDefault="00D676F3" w:rsidP="00EE735F">
      <w:pPr>
        <w:pStyle w:val="FootnoteText"/>
        <w:jc w:val="both"/>
        <w:rPr>
          <w:rFonts w:ascii="Arial" w:hAnsi="Arial" w:cs="Arial"/>
        </w:rPr>
      </w:pPr>
      <w:r w:rsidRPr="00292F72">
        <w:rPr>
          <w:rStyle w:val="FootnoteReference"/>
          <w:rFonts w:ascii="Arial" w:hAnsi="Arial" w:cs="Arial"/>
        </w:rPr>
        <w:footnoteRef/>
      </w:r>
      <w:r w:rsidRPr="00292F72">
        <w:rPr>
          <w:rFonts w:ascii="Arial" w:hAnsi="Arial" w:cs="Arial"/>
        </w:rPr>
        <w:t xml:space="preserve"> </w:t>
      </w:r>
      <w:r w:rsidR="00292F72" w:rsidRPr="00292F72">
        <w:rPr>
          <w:rFonts w:ascii="Arial" w:hAnsi="Arial" w:cs="Arial"/>
        </w:rPr>
        <w:t>K.C.C. 10.14.020; 2019 Comprehensive Solid Waste Management Plan (Ord. 18893); 2020 King County Strategic Climate Action Plan (Motion 15866). In this context, "zero waste" does not mean that no waste will be disposed, but instead proposes that maximum feasible and cost-effective efforts be made to prevent, reuse, and reduce waste.</w:t>
      </w:r>
    </w:p>
  </w:footnote>
  <w:footnote w:id="2">
    <w:p w14:paraId="60FE0D5C" w14:textId="486FF75E" w:rsidR="0000668E" w:rsidRDefault="0000668E" w:rsidP="00EE735F">
      <w:pPr>
        <w:pStyle w:val="FootnoteText"/>
        <w:jc w:val="both"/>
      </w:pPr>
      <w:r w:rsidRPr="00292F72">
        <w:rPr>
          <w:rStyle w:val="FootnoteReference"/>
          <w:rFonts w:ascii="Arial" w:hAnsi="Arial" w:cs="Arial"/>
        </w:rPr>
        <w:footnoteRef/>
      </w:r>
      <w:r w:rsidRPr="00292F72">
        <w:rPr>
          <w:rFonts w:ascii="Arial" w:hAnsi="Arial" w:cs="Arial"/>
        </w:rPr>
        <w:t xml:space="preserve"> Formerly Zero Waste Plan</w:t>
      </w:r>
    </w:p>
  </w:footnote>
  <w:footnote w:id="3">
    <w:p w14:paraId="3A116FC7" w14:textId="13592AE7" w:rsidR="00CA636A" w:rsidRPr="00292F72" w:rsidRDefault="00CA636A" w:rsidP="00CA636A">
      <w:pPr>
        <w:pStyle w:val="FootnoteText"/>
        <w:rPr>
          <w:rFonts w:ascii="Arial" w:hAnsi="Arial" w:cs="Arial"/>
        </w:rPr>
      </w:pPr>
      <w:r w:rsidRPr="00292F72">
        <w:rPr>
          <w:rStyle w:val="FootnoteReference"/>
          <w:rFonts w:ascii="Arial" w:hAnsi="Arial" w:cs="Arial"/>
        </w:rPr>
        <w:footnoteRef/>
      </w:r>
      <w:r w:rsidRPr="00292F72">
        <w:rPr>
          <w:rFonts w:ascii="Arial" w:hAnsi="Arial" w:cs="Arial"/>
        </w:rPr>
        <w:t xml:space="preserve"> All cities in King County except Seattle and Milton have executed ILAs with the County</w:t>
      </w:r>
      <w:r w:rsidR="00292F72">
        <w:rPr>
          <w:rFonts w:ascii="Arial" w:hAnsi="Arial" w:cs="Arial"/>
        </w:rPr>
        <w:t>; 2019 Comprehensive Solid Waste Management Plan</w:t>
      </w:r>
    </w:p>
  </w:footnote>
  <w:footnote w:id="4">
    <w:p w14:paraId="35FD8196" w14:textId="42D3199D" w:rsidR="00051AFC" w:rsidRPr="00292F72" w:rsidRDefault="00051AFC">
      <w:pPr>
        <w:pStyle w:val="FootnoteText"/>
        <w:rPr>
          <w:rFonts w:ascii="Arial" w:hAnsi="Arial" w:cs="Arial"/>
        </w:rPr>
      </w:pPr>
      <w:r w:rsidRPr="00292F72">
        <w:rPr>
          <w:rStyle w:val="FootnoteReference"/>
          <w:rFonts w:ascii="Arial" w:hAnsi="Arial" w:cs="Arial"/>
        </w:rPr>
        <w:footnoteRef/>
      </w:r>
      <w:r w:rsidRPr="00292F72">
        <w:rPr>
          <w:rFonts w:ascii="Arial" w:hAnsi="Arial" w:cs="Arial"/>
        </w:rPr>
        <w:t xml:space="preserve"> </w:t>
      </w:r>
      <w:r w:rsidR="00583BB2" w:rsidRPr="00292F72">
        <w:rPr>
          <w:rFonts w:ascii="Arial" w:hAnsi="Arial" w:cs="Arial"/>
        </w:rPr>
        <w:t xml:space="preserve">R.C.W. </w:t>
      </w:r>
      <w:r w:rsidR="00292F72" w:rsidRPr="00292F72">
        <w:rPr>
          <w:rFonts w:ascii="Arial" w:hAnsi="Arial" w:cs="Arial"/>
        </w:rPr>
        <w:t>81.77.020 and 36.58.040</w:t>
      </w:r>
    </w:p>
  </w:footnote>
  <w:footnote w:id="5">
    <w:p w14:paraId="1B23850E" w14:textId="398DAB1A" w:rsidR="00FB026A" w:rsidRPr="00292F72" w:rsidRDefault="00FB026A">
      <w:pPr>
        <w:pStyle w:val="FootnoteText"/>
        <w:rPr>
          <w:rFonts w:ascii="Arial" w:hAnsi="Arial" w:cs="Arial"/>
        </w:rPr>
      </w:pPr>
      <w:r w:rsidRPr="00292F72">
        <w:rPr>
          <w:rStyle w:val="FootnoteReference"/>
          <w:rFonts w:ascii="Arial" w:hAnsi="Arial" w:cs="Arial"/>
        </w:rPr>
        <w:footnoteRef/>
      </w:r>
      <w:r w:rsidRPr="00292F72">
        <w:rPr>
          <w:rFonts w:ascii="Arial" w:hAnsi="Arial" w:cs="Arial"/>
        </w:rPr>
        <w:t xml:space="preserve"> K.C.C. </w:t>
      </w:r>
      <w:r w:rsidR="00292F72" w:rsidRPr="00292F72">
        <w:rPr>
          <w:rFonts w:ascii="Arial" w:hAnsi="Arial" w:cs="Arial"/>
        </w:rPr>
        <w:t>10.04.020.V</w:t>
      </w:r>
    </w:p>
  </w:footnote>
  <w:footnote w:id="6">
    <w:p w14:paraId="0EAA88F1" w14:textId="256F4D39" w:rsidR="00FB026A" w:rsidRDefault="00FB026A">
      <w:pPr>
        <w:pStyle w:val="FootnoteText"/>
      </w:pPr>
      <w:r w:rsidRPr="00292F72">
        <w:rPr>
          <w:rStyle w:val="FootnoteReference"/>
          <w:rFonts w:ascii="Arial" w:hAnsi="Arial" w:cs="Arial"/>
        </w:rPr>
        <w:footnoteRef/>
      </w:r>
      <w:r w:rsidRPr="00292F72">
        <w:rPr>
          <w:rFonts w:ascii="Arial" w:hAnsi="Arial" w:cs="Arial"/>
        </w:rPr>
        <w:t xml:space="preserve"> K.C.C. </w:t>
      </w:r>
      <w:r w:rsidR="00292F72" w:rsidRPr="00292F72">
        <w:rPr>
          <w:rFonts w:ascii="Arial" w:hAnsi="Arial" w:cs="Arial"/>
        </w:rPr>
        <w:t>10.04.020.H</w:t>
      </w:r>
    </w:p>
  </w:footnote>
  <w:footnote w:id="7">
    <w:p w14:paraId="07F32576" w14:textId="357BA13D" w:rsidR="000674FA" w:rsidRPr="00984764" w:rsidRDefault="000674FA" w:rsidP="00660DC5">
      <w:pPr>
        <w:pStyle w:val="FootnoteText"/>
        <w:jc w:val="both"/>
        <w:rPr>
          <w:rFonts w:ascii="Arial" w:hAnsi="Arial" w:cs="Arial"/>
        </w:rPr>
      </w:pPr>
      <w:r w:rsidRPr="00984764">
        <w:rPr>
          <w:rStyle w:val="FootnoteReference"/>
          <w:rFonts w:ascii="Arial" w:hAnsi="Arial" w:cs="Arial"/>
        </w:rPr>
        <w:footnoteRef/>
      </w:r>
      <w:r w:rsidRPr="00984764">
        <w:rPr>
          <w:rFonts w:ascii="Arial" w:hAnsi="Arial" w:cs="Arial"/>
        </w:rPr>
        <w:t xml:space="preserve"> </w:t>
      </w:r>
      <w:r w:rsidR="00984764" w:rsidRPr="00984764">
        <w:rPr>
          <w:rFonts w:ascii="Arial" w:hAnsi="Arial" w:cs="Arial"/>
        </w:rPr>
        <w:t>"Enterprise fund" means a fund that is used to account for any activity for which a fee is charged to external users for goods or services (K.C.C. 4A.10.251)</w:t>
      </w:r>
    </w:p>
  </w:footnote>
  <w:footnote w:id="8">
    <w:p w14:paraId="6D4FF165" w14:textId="43802C55" w:rsidR="005E6F83" w:rsidRPr="00984764" w:rsidRDefault="005E6F83" w:rsidP="00660DC5">
      <w:pPr>
        <w:pStyle w:val="FootnoteText"/>
        <w:jc w:val="both"/>
        <w:rPr>
          <w:rFonts w:ascii="Arial" w:hAnsi="Arial" w:cs="Arial"/>
        </w:rPr>
      </w:pPr>
      <w:r w:rsidRPr="00984764">
        <w:rPr>
          <w:rStyle w:val="FootnoteReference"/>
          <w:rFonts w:ascii="Arial" w:hAnsi="Arial" w:cs="Arial"/>
        </w:rPr>
        <w:footnoteRef/>
      </w:r>
      <w:r w:rsidRPr="00984764">
        <w:rPr>
          <w:rFonts w:ascii="Arial" w:hAnsi="Arial" w:cs="Arial"/>
        </w:rPr>
        <w:t xml:space="preserve"> </w:t>
      </w:r>
      <w:r w:rsidR="0077150A" w:rsidRPr="00984764">
        <w:rPr>
          <w:rFonts w:ascii="Arial" w:hAnsi="Arial" w:cs="Arial"/>
        </w:rPr>
        <w:t xml:space="preserve">Ord. </w:t>
      </w:r>
      <w:r w:rsidR="00660DC5">
        <w:rPr>
          <w:rFonts w:ascii="Arial" w:hAnsi="Arial" w:cs="Arial"/>
        </w:rPr>
        <w:t>19329</w:t>
      </w:r>
      <w:r w:rsidR="009A571C" w:rsidRPr="00984764">
        <w:rPr>
          <w:rFonts w:ascii="Arial" w:hAnsi="Arial" w:cs="Arial"/>
        </w:rPr>
        <w:t>; Fees are shown pre-tax and without the moderate-risk waste surcharge that funds hazardous waste programs throughout the County.</w:t>
      </w:r>
    </w:p>
  </w:footnote>
  <w:footnote w:id="9">
    <w:p w14:paraId="740A67D8" w14:textId="01347736" w:rsidR="004E76D3" w:rsidRPr="00984764" w:rsidRDefault="004E76D3" w:rsidP="00867872">
      <w:pPr>
        <w:pStyle w:val="FootnoteText"/>
        <w:jc w:val="both"/>
        <w:rPr>
          <w:rFonts w:ascii="Arial" w:hAnsi="Arial" w:cs="Arial"/>
        </w:rPr>
      </w:pPr>
      <w:r w:rsidRPr="00984764">
        <w:rPr>
          <w:rStyle w:val="FootnoteReference"/>
          <w:rFonts w:ascii="Arial" w:hAnsi="Arial" w:cs="Arial"/>
        </w:rPr>
        <w:footnoteRef/>
      </w:r>
      <w:r w:rsidRPr="00984764">
        <w:rPr>
          <w:rFonts w:ascii="Arial" w:hAnsi="Arial" w:cs="Arial"/>
        </w:rPr>
        <w:t xml:space="preserve"> "Fixed-rate" vehicles, which include hatchbacks and sedans, pay a flat amount equivalent to the minimum fee charged for customers disposing less than 320 pounds of solid waste.</w:t>
      </w:r>
    </w:p>
  </w:footnote>
  <w:footnote w:id="10">
    <w:p w14:paraId="0D5F2083" w14:textId="77777777" w:rsidR="00323930" w:rsidRPr="00323930" w:rsidRDefault="00323930" w:rsidP="00867872">
      <w:pPr>
        <w:widowControl w:val="0"/>
        <w:jc w:val="both"/>
        <w:rPr>
          <w:rFonts w:ascii="Arial" w:hAnsi="Arial" w:cs="Arial"/>
          <w:sz w:val="20"/>
        </w:rPr>
      </w:pPr>
      <w:r w:rsidRPr="00323930">
        <w:rPr>
          <w:rStyle w:val="FootnoteReference"/>
          <w:rFonts w:ascii="Arial" w:hAnsi="Arial" w:cs="Arial"/>
          <w:sz w:val="20"/>
        </w:rPr>
        <w:footnoteRef/>
      </w:r>
      <w:r w:rsidRPr="00323930">
        <w:rPr>
          <w:rFonts w:ascii="Arial" w:hAnsi="Arial" w:cs="Arial"/>
          <w:sz w:val="20"/>
        </w:rPr>
        <w:t xml:space="preserve"> "Per-ton-rate" vehicles, which include, but are not limited to, minivans, vans, sport utility vehicles, trucks, and commercial vehicles, pay a per-ton fee based on the weight of solid waste being disposed. (Under 320 pounds, per-ton-rate vehicles are charged the minimum fee.) </w:t>
      </w:r>
    </w:p>
    <w:p w14:paraId="5FE8C262" w14:textId="156F0AA6" w:rsidR="00323930" w:rsidRDefault="00323930" w:rsidP="00867872">
      <w:pPr>
        <w:pStyle w:val="FootnoteText"/>
      </w:pPr>
    </w:p>
  </w:footnote>
  <w:footnote w:id="11">
    <w:p w14:paraId="7F1BE400" w14:textId="45AD3128" w:rsidR="00934F59" w:rsidRPr="006E1614" w:rsidRDefault="00934F59" w:rsidP="006E1614">
      <w:pPr>
        <w:pStyle w:val="FootnoteText"/>
        <w:jc w:val="both"/>
        <w:rPr>
          <w:rFonts w:ascii="Arial" w:hAnsi="Arial" w:cs="Arial"/>
        </w:rPr>
      </w:pPr>
      <w:r w:rsidRPr="006E1614">
        <w:rPr>
          <w:rStyle w:val="FootnoteReference"/>
          <w:rFonts w:ascii="Arial" w:hAnsi="Arial" w:cs="Arial"/>
        </w:rPr>
        <w:footnoteRef/>
      </w:r>
      <w:r w:rsidRPr="006E1614">
        <w:rPr>
          <w:rFonts w:ascii="Arial" w:hAnsi="Arial" w:cs="Arial"/>
        </w:rPr>
        <w:t xml:space="preserve"> K.C.C. 10.14.020; 2019 Comprehensive Solid Waste Management Plan (Ord. 18893); 2020 King County Strategic Climate Action Plan (Motion 15866). In this context, "zero waste" does not mean that no waste will be disposed, but instead proposes that maximum feasible and cost-effective efforts be made to prevent, reuse, and reduce waste.</w:t>
      </w:r>
    </w:p>
  </w:footnote>
  <w:footnote w:id="12">
    <w:p w14:paraId="198551C3" w14:textId="3C45518C" w:rsidR="00CF1365" w:rsidRDefault="00CF1365" w:rsidP="006E1614">
      <w:pPr>
        <w:pStyle w:val="FootnoteText"/>
        <w:jc w:val="both"/>
      </w:pPr>
      <w:r w:rsidRPr="006E1614">
        <w:rPr>
          <w:rStyle w:val="FootnoteReference"/>
          <w:rFonts w:ascii="Arial" w:hAnsi="Arial" w:cs="Arial"/>
        </w:rPr>
        <w:footnoteRef/>
      </w:r>
      <w:r w:rsidRPr="006E1614">
        <w:rPr>
          <w:rFonts w:ascii="Arial" w:hAnsi="Arial" w:cs="Arial"/>
        </w:rPr>
        <w:t xml:space="preserve"> Formerly referred to as the Zero Waste of Resources Plan</w:t>
      </w:r>
    </w:p>
  </w:footnote>
  <w:footnote w:id="13">
    <w:p w14:paraId="15BDDE64" w14:textId="61F85450" w:rsidR="00B55A37" w:rsidRPr="00CC03AB" w:rsidRDefault="00B55A37" w:rsidP="00CC03AB">
      <w:pPr>
        <w:pStyle w:val="FootnoteText"/>
        <w:jc w:val="both"/>
        <w:rPr>
          <w:rFonts w:ascii="Arial" w:hAnsi="Arial" w:cs="Arial"/>
        </w:rPr>
      </w:pPr>
      <w:r w:rsidRPr="00CC03AB">
        <w:rPr>
          <w:rStyle w:val="FootnoteReference"/>
          <w:rFonts w:ascii="Arial" w:hAnsi="Arial" w:cs="Arial"/>
        </w:rPr>
        <w:footnoteRef/>
      </w:r>
      <w:r w:rsidRPr="00CC03AB">
        <w:rPr>
          <w:rFonts w:ascii="Arial" w:hAnsi="Arial" w:cs="Arial"/>
        </w:rPr>
        <w:t xml:space="preserve"> Exclud</w:t>
      </w:r>
      <w:r w:rsidR="00CC03AB" w:rsidRPr="00CC03AB">
        <w:rPr>
          <w:rFonts w:ascii="Arial" w:hAnsi="Arial" w:cs="Arial"/>
        </w:rPr>
        <w:t>es</w:t>
      </w:r>
      <w:r w:rsidRPr="00CC03AB">
        <w:rPr>
          <w:rFonts w:ascii="Arial" w:hAnsi="Arial" w:cs="Arial"/>
        </w:rPr>
        <w:t xml:space="preserve"> Regional Direct tons.</w:t>
      </w:r>
    </w:p>
  </w:footnote>
  <w:footnote w:id="14">
    <w:p w14:paraId="49484E9E" w14:textId="77777777" w:rsidR="00E115D9" w:rsidRPr="00323930" w:rsidRDefault="00E115D9" w:rsidP="00E115D9">
      <w:pPr>
        <w:pStyle w:val="FootnoteText"/>
        <w:jc w:val="both"/>
        <w:rPr>
          <w:rFonts w:ascii="Arial" w:hAnsi="Arial" w:cs="Arial"/>
        </w:rPr>
      </w:pPr>
      <w:r w:rsidRPr="00323930">
        <w:rPr>
          <w:rStyle w:val="FootnoteReference"/>
          <w:rFonts w:ascii="Arial" w:hAnsi="Arial" w:cs="Arial"/>
        </w:rPr>
        <w:footnoteRef/>
      </w:r>
      <w:r w:rsidRPr="00323930">
        <w:rPr>
          <w:rFonts w:ascii="Arial" w:hAnsi="Arial" w:cs="Arial"/>
        </w:rPr>
        <w:t xml:space="preserve"> "Fixed-rate" vehicles, which include hatchbacks and sedans, pay a flat amount equivalent to the minimum fee charged for customers disposing less than 320 pounds of solid waste.</w:t>
      </w:r>
    </w:p>
  </w:footnote>
  <w:footnote w:id="15">
    <w:p w14:paraId="75FCDBD0" w14:textId="77777777" w:rsidR="00E115D9" w:rsidRPr="00323930" w:rsidRDefault="00E115D9" w:rsidP="00E115D9">
      <w:pPr>
        <w:widowControl w:val="0"/>
        <w:jc w:val="both"/>
        <w:rPr>
          <w:rFonts w:ascii="Arial" w:hAnsi="Arial" w:cs="Arial"/>
          <w:sz w:val="20"/>
        </w:rPr>
      </w:pPr>
      <w:r w:rsidRPr="00323930">
        <w:rPr>
          <w:rStyle w:val="FootnoteReference"/>
          <w:rFonts w:ascii="Arial" w:hAnsi="Arial" w:cs="Arial"/>
          <w:sz w:val="20"/>
        </w:rPr>
        <w:footnoteRef/>
      </w:r>
      <w:r w:rsidRPr="00323930">
        <w:rPr>
          <w:rFonts w:ascii="Arial" w:hAnsi="Arial" w:cs="Arial"/>
          <w:sz w:val="20"/>
        </w:rPr>
        <w:t xml:space="preserve"> "Per-ton-rate" vehicles, which include, but are not limited to, minivans, vans, sport utility vehicles, trucks, and commercial vehicles, pay a per-ton fee based on the weight of solid waste being disposed. (Under 320 pounds, per-ton-rate vehicles are charged the minimum fee.) </w:t>
      </w:r>
    </w:p>
    <w:p w14:paraId="0089A14B" w14:textId="77777777" w:rsidR="00E115D9" w:rsidRDefault="00E115D9" w:rsidP="00E115D9">
      <w:pPr>
        <w:pStyle w:val="FootnoteText"/>
      </w:pPr>
    </w:p>
  </w:footnote>
  <w:footnote w:id="16">
    <w:p w14:paraId="02FF77E2" w14:textId="6A0F7A85" w:rsidR="005909B4" w:rsidRPr="00C459FD" w:rsidRDefault="005909B4" w:rsidP="00C459FD">
      <w:pPr>
        <w:pStyle w:val="FootnoteText"/>
        <w:jc w:val="both"/>
        <w:rPr>
          <w:rFonts w:ascii="Arial" w:hAnsi="Arial" w:cs="Arial"/>
        </w:rPr>
      </w:pPr>
      <w:r w:rsidRPr="00C459FD">
        <w:rPr>
          <w:rStyle w:val="FootnoteReference"/>
          <w:rFonts w:ascii="Arial" w:hAnsi="Arial" w:cs="Arial"/>
        </w:rPr>
        <w:footnoteRef/>
      </w:r>
      <w:r w:rsidRPr="00C459FD">
        <w:rPr>
          <w:rFonts w:ascii="Arial" w:hAnsi="Arial" w:cs="Arial"/>
        </w:rPr>
        <w:t xml:space="preserve"> </w:t>
      </w:r>
      <w:r w:rsidR="00B66B95" w:rsidRPr="00C459FD">
        <w:rPr>
          <w:rFonts w:ascii="Arial" w:hAnsi="Arial" w:cs="Arial"/>
        </w:rPr>
        <w:t>K.C.C. 10.</w:t>
      </w:r>
      <w:r w:rsidR="00C459FD" w:rsidRPr="00C459FD">
        <w:rPr>
          <w:rFonts w:ascii="Arial" w:hAnsi="Arial" w:cs="Arial"/>
        </w:rPr>
        <w:t>04.020.</w:t>
      </w:r>
      <w:r w:rsidR="00B66B95" w:rsidRPr="00C459FD">
        <w:rPr>
          <w:rFonts w:ascii="Arial" w:hAnsi="Arial" w:cs="Arial"/>
        </w:rPr>
        <w:t>MMM</w:t>
      </w:r>
    </w:p>
  </w:footnote>
  <w:footnote w:id="17">
    <w:p w14:paraId="1DA6BF3E" w14:textId="24D989E9" w:rsidR="005909B4" w:rsidRPr="00C459FD" w:rsidRDefault="005909B4" w:rsidP="00C459FD">
      <w:pPr>
        <w:pStyle w:val="FootnoteText"/>
        <w:jc w:val="both"/>
        <w:rPr>
          <w:rFonts w:ascii="Arial" w:hAnsi="Arial" w:cs="Arial"/>
        </w:rPr>
      </w:pPr>
      <w:r w:rsidRPr="00C459FD">
        <w:rPr>
          <w:rStyle w:val="FootnoteReference"/>
          <w:rFonts w:ascii="Arial" w:hAnsi="Arial" w:cs="Arial"/>
        </w:rPr>
        <w:footnoteRef/>
      </w:r>
      <w:r w:rsidRPr="00C459FD">
        <w:rPr>
          <w:rFonts w:ascii="Arial" w:hAnsi="Arial" w:cs="Arial"/>
        </w:rPr>
        <w:t xml:space="preserve"> </w:t>
      </w:r>
      <w:r w:rsidR="00C459FD" w:rsidRPr="00C459FD">
        <w:rPr>
          <w:rFonts w:ascii="Arial" w:hAnsi="Arial" w:cs="Arial"/>
        </w:rPr>
        <w:t>K.C.C. 10.04.020.UUUU</w:t>
      </w:r>
    </w:p>
  </w:footnote>
  <w:footnote w:id="18">
    <w:p w14:paraId="21037276" w14:textId="7AE54E3B" w:rsidR="005909B4" w:rsidRDefault="005909B4" w:rsidP="00C459FD">
      <w:pPr>
        <w:pStyle w:val="FootnoteText"/>
        <w:jc w:val="both"/>
      </w:pPr>
      <w:r w:rsidRPr="00C459FD">
        <w:rPr>
          <w:rStyle w:val="FootnoteReference"/>
          <w:rFonts w:ascii="Arial" w:hAnsi="Arial" w:cs="Arial"/>
        </w:rPr>
        <w:footnoteRef/>
      </w:r>
      <w:r w:rsidRPr="00C459FD">
        <w:rPr>
          <w:rFonts w:ascii="Arial" w:hAnsi="Arial" w:cs="Arial"/>
        </w:rPr>
        <w:t xml:space="preserve"> </w:t>
      </w:r>
      <w:r w:rsidR="00C459FD" w:rsidRPr="00C459FD">
        <w:rPr>
          <w:rFonts w:ascii="Arial" w:hAnsi="Arial" w:cs="Arial"/>
        </w:rPr>
        <w:t>K.C.C. 10.04.020.N</w:t>
      </w:r>
    </w:p>
  </w:footnote>
  <w:footnote w:id="19">
    <w:p w14:paraId="2C1A06E4" w14:textId="24A2E99A" w:rsidR="00C459FD" w:rsidRPr="00C459FD" w:rsidRDefault="00C459FD">
      <w:pPr>
        <w:pStyle w:val="FootnoteText"/>
        <w:rPr>
          <w:rFonts w:ascii="Arial" w:hAnsi="Arial" w:cs="Arial"/>
        </w:rPr>
      </w:pPr>
      <w:r w:rsidRPr="00C459FD">
        <w:rPr>
          <w:rStyle w:val="FootnoteReference"/>
          <w:rFonts w:ascii="Arial" w:hAnsi="Arial" w:cs="Arial"/>
        </w:rPr>
        <w:footnoteRef/>
      </w:r>
      <w:r w:rsidRPr="00C459FD">
        <w:rPr>
          <w:rFonts w:ascii="Arial" w:hAnsi="Arial" w:cs="Arial"/>
        </w:rPr>
        <w:t xml:space="preserve"> K.C.C. 10.04.020.VVVV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2596"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6D1"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68E"/>
    <w:multiLevelType w:val="hybridMultilevel"/>
    <w:tmpl w:val="291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2505"/>
    <w:multiLevelType w:val="hybridMultilevel"/>
    <w:tmpl w:val="DD5CC0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FA0980"/>
    <w:multiLevelType w:val="hybridMultilevel"/>
    <w:tmpl w:val="6DA4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445E"/>
    <w:multiLevelType w:val="hybridMultilevel"/>
    <w:tmpl w:val="348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B05BD"/>
    <w:multiLevelType w:val="hybridMultilevel"/>
    <w:tmpl w:val="97481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E7BD5"/>
    <w:multiLevelType w:val="hybridMultilevel"/>
    <w:tmpl w:val="C4568966"/>
    <w:lvl w:ilvl="0" w:tplc="B69869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9"/>
  </w:num>
  <w:num w:numId="7">
    <w:abstractNumId w:val="2"/>
  </w:num>
  <w:num w:numId="8">
    <w:abstractNumId w:val="7"/>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5FE"/>
    <w:rsid w:val="00002565"/>
    <w:rsid w:val="00002EFF"/>
    <w:rsid w:val="000038DD"/>
    <w:rsid w:val="000048A8"/>
    <w:rsid w:val="00005440"/>
    <w:rsid w:val="00005619"/>
    <w:rsid w:val="0000668E"/>
    <w:rsid w:val="00006AAA"/>
    <w:rsid w:val="0000708D"/>
    <w:rsid w:val="00007170"/>
    <w:rsid w:val="000079A1"/>
    <w:rsid w:val="00011320"/>
    <w:rsid w:val="00011563"/>
    <w:rsid w:val="00012770"/>
    <w:rsid w:val="00014584"/>
    <w:rsid w:val="00016751"/>
    <w:rsid w:val="000172AB"/>
    <w:rsid w:val="0001760A"/>
    <w:rsid w:val="000179BF"/>
    <w:rsid w:val="00020A63"/>
    <w:rsid w:val="00020C96"/>
    <w:rsid w:val="00020FEE"/>
    <w:rsid w:val="00021AF6"/>
    <w:rsid w:val="00022EE3"/>
    <w:rsid w:val="0002302F"/>
    <w:rsid w:val="000231B1"/>
    <w:rsid w:val="00024138"/>
    <w:rsid w:val="00024D34"/>
    <w:rsid w:val="0002551E"/>
    <w:rsid w:val="0002555E"/>
    <w:rsid w:val="0002734C"/>
    <w:rsid w:val="000304D0"/>
    <w:rsid w:val="000311D8"/>
    <w:rsid w:val="000315B2"/>
    <w:rsid w:val="00031A54"/>
    <w:rsid w:val="00031B36"/>
    <w:rsid w:val="00031E7D"/>
    <w:rsid w:val="0003207F"/>
    <w:rsid w:val="000321D8"/>
    <w:rsid w:val="000333D7"/>
    <w:rsid w:val="000333DA"/>
    <w:rsid w:val="0003471E"/>
    <w:rsid w:val="00034741"/>
    <w:rsid w:val="000351B5"/>
    <w:rsid w:val="00037595"/>
    <w:rsid w:val="00037AB1"/>
    <w:rsid w:val="0004200D"/>
    <w:rsid w:val="000443B8"/>
    <w:rsid w:val="0004549A"/>
    <w:rsid w:val="00046824"/>
    <w:rsid w:val="000470FF"/>
    <w:rsid w:val="000471CC"/>
    <w:rsid w:val="00047F62"/>
    <w:rsid w:val="0005008A"/>
    <w:rsid w:val="00051AFC"/>
    <w:rsid w:val="0005201B"/>
    <w:rsid w:val="000533AF"/>
    <w:rsid w:val="000545E7"/>
    <w:rsid w:val="000553F5"/>
    <w:rsid w:val="00055B9A"/>
    <w:rsid w:val="00056667"/>
    <w:rsid w:val="00056C81"/>
    <w:rsid w:val="000577A3"/>
    <w:rsid w:val="000601ED"/>
    <w:rsid w:val="00060235"/>
    <w:rsid w:val="000609F4"/>
    <w:rsid w:val="00060D99"/>
    <w:rsid w:val="0006124B"/>
    <w:rsid w:val="00061676"/>
    <w:rsid w:val="00062056"/>
    <w:rsid w:val="00063E46"/>
    <w:rsid w:val="00066001"/>
    <w:rsid w:val="0006609F"/>
    <w:rsid w:val="00066CEA"/>
    <w:rsid w:val="000674FA"/>
    <w:rsid w:val="00070BB3"/>
    <w:rsid w:val="000722EA"/>
    <w:rsid w:val="000736F6"/>
    <w:rsid w:val="00073828"/>
    <w:rsid w:val="00074215"/>
    <w:rsid w:val="00074A3E"/>
    <w:rsid w:val="00074A56"/>
    <w:rsid w:val="000766A2"/>
    <w:rsid w:val="00076F58"/>
    <w:rsid w:val="00080295"/>
    <w:rsid w:val="000812E3"/>
    <w:rsid w:val="00081382"/>
    <w:rsid w:val="00081D1A"/>
    <w:rsid w:val="00082009"/>
    <w:rsid w:val="000820F1"/>
    <w:rsid w:val="0008325A"/>
    <w:rsid w:val="00086A9B"/>
    <w:rsid w:val="00086DDE"/>
    <w:rsid w:val="00087BF6"/>
    <w:rsid w:val="00090619"/>
    <w:rsid w:val="000908E7"/>
    <w:rsid w:val="000913B6"/>
    <w:rsid w:val="00092E9F"/>
    <w:rsid w:val="00093E2E"/>
    <w:rsid w:val="000940FB"/>
    <w:rsid w:val="000956D8"/>
    <w:rsid w:val="00095A14"/>
    <w:rsid w:val="000967D1"/>
    <w:rsid w:val="00097628"/>
    <w:rsid w:val="000976A4"/>
    <w:rsid w:val="00097FCF"/>
    <w:rsid w:val="000A0800"/>
    <w:rsid w:val="000A0835"/>
    <w:rsid w:val="000A0A31"/>
    <w:rsid w:val="000A26BF"/>
    <w:rsid w:val="000A3837"/>
    <w:rsid w:val="000A4A4E"/>
    <w:rsid w:val="000A4CB2"/>
    <w:rsid w:val="000A5F9C"/>
    <w:rsid w:val="000A5FD0"/>
    <w:rsid w:val="000A714D"/>
    <w:rsid w:val="000A73BE"/>
    <w:rsid w:val="000A78D8"/>
    <w:rsid w:val="000A7CCC"/>
    <w:rsid w:val="000A7E01"/>
    <w:rsid w:val="000B0291"/>
    <w:rsid w:val="000B077C"/>
    <w:rsid w:val="000B0C73"/>
    <w:rsid w:val="000B20D1"/>
    <w:rsid w:val="000B3172"/>
    <w:rsid w:val="000B366B"/>
    <w:rsid w:val="000B416D"/>
    <w:rsid w:val="000B4D20"/>
    <w:rsid w:val="000B650C"/>
    <w:rsid w:val="000B70C3"/>
    <w:rsid w:val="000C20E2"/>
    <w:rsid w:val="000C2339"/>
    <w:rsid w:val="000C299B"/>
    <w:rsid w:val="000C2F0C"/>
    <w:rsid w:val="000C311D"/>
    <w:rsid w:val="000C43F6"/>
    <w:rsid w:val="000C44B1"/>
    <w:rsid w:val="000C4BA4"/>
    <w:rsid w:val="000C4E99"/>
    <w:rsid w:val="000C4E9C"/>
    <w:rsid w:val="000C6442"/>
    <w:rsid w:val="000C6F99"/>
    <w:rsid w:val="000C71F9"/>
    <w:rsid w:val="000C7C8F"/>
    <w:rsid w:val="000D077F"/>
    <w:rsid w:val="000D097E"/>
    <w:rsid w:val="000D0B71"/>
    <w:rsid w:val="000D0F7A"/>
    <w:rsid w:val="000D4684"/>
    <w:rsid w:val="000D4A15"/>
    <w:rsid w:val="000D5202"/>
    <w:rsid w:val="000D6835"/>
    <w:rsid w:val="000D6BE3"/>
    <w:rsid w:val="000D6C72"/>
    <w:rsid w:val="000D78AF"/>
    <w:rsid w:val="000E0684"/>
    <w:rsid w:val="000E17E0"/>
    <w:rsid w:val="000E1BAB"/>
    <w:rsid w:val="000E1CD3"/>
    <w:rsid w:val="000E4781"/>
    <w:rsid w:val="000E6317"/>
    <w:rsid w:val="000E7EFC"/>
    <w:rsid w:val="000F01C0"/>
    <w:rsid w:val="000F1013"/>
    <w:rsid w:val="000F2676"/>
    <w:rsid w:val="000F29F5"/>
    <w:rsid w:val="000F43E1"/>
    <w:rsid w:val="000F4DCA"/>
    <w:rsid w:val="000F5E4A"/>
    <w:rsid w:val="001026FD"/>
    <w:rsid w:val="00103094"/>
    <w:rsid w:val="00105382"/>
    <w:rsid w:val="0010576B"/>
    <w:rsid w:val="00106179"/>
    <w:rsid w:val="001062E7"/>
    <w:rsid w:val="00106A7B"/>
    <w:rsid w:val="001074C3"/>
    <w:rsid w:val="00110AC4"/>
    <w:rsid w:val="00111799"/>
    <w:rsid w:val="00112743"/>
    <w:rsid w:val="00113B09"/>
    <w:rsid w:val="001143C2"/>
    <w:rsid w:val="00114BFB"/>
    <w:rsid w:val="00117C15"/>
    <w:rsid w:val="00117D3D"/>
    <w:rsid w:val="00121D0A"/>
    <w:rsid w:val="0012573D"/>
    <w:rsid w:val="00126322"/>
    <w:rsid w:val="001270F6"/>
    <w:rsid w:val="00127683"/>
    <w:rsid w:val="00131D0E"/>
    <w:rsid w:val="001320CB"/>
    <w:rsid w:val="0013286C"/>
    <w:rsid w:val="00132C16"/>
    <w:rsid w:val="00132DFC"/>
    <w:rsid w:val="00132F7E"/>
    <w:rsid w:val="00132FA5"/>
    <w:rsid w:val="00133022"/>
    <w:rsid w:val="00133981"/>
    <w:rsid w:val="0013486D"/>
    <w:rsid w:val="0013536B"/>
    <w:rsid w:val="0013537B"/>
    <w:rsid w:val="00136122"/>
    <w:rsid w:val="001371C9"/>
    <w:rsid w:val="001373DC"/>
    <w:rsid w:val="00137469"/>
    <w:rsid w:val="00137B21"/>
    <w:rsid w:val="001404CF"/>
    <w:rsid w:val="0014083F"/>
    <w:rsid w:val="00140C8E"/>
    <w:rsid w:val="00140D86"/>
    <w:rsid w:val="00141B7A"/>
    <w:rsid w:val="00141E58"/>
    <w:rsid w:val="001426ED"/>
    <w:rsid w:val="00142B5D"/>
    <w:rsid w:val="00142F7E"/>
    <w:rsid w:val="001440C8"/>
    <w:rsid w:val="001440E6"/>
    <w:rsid w:val="001463CF"/>
    <w:rsid w:val="001509B2"/>
    <w:rsid w:val="00151099"/>
    <w:rsid w:val="0015229A"/>
    <w:rsid w:val="0015290A"/>
    <w:rsid w:val="00152D09"/>
    <w:rsid w:val="00153F51"/>
    <w:rsid w:val="00154328"/>
    <w:rsid w:val="00154E2E"/>
    <w:rsid w:val="0015549F"/>
    <w:rsid w:val="00156531"/>
    <w:rsid w:val="00157334"/>
    <w:rsid w:val="00161471"/>
    <w:rsid w:val="00161BF5"/>
    <w:rsid w:val="00161D1B"/>
    <w:rsid w:val="00163DEF"/>
    <w:rsid w:val="00164F54"/>
    <w:rsid w:val="0016552E"/>
    <w:rsid w:val="001656A0"/>
    <w:rsid w:val="00166774"/>
    <w:rsid w:val="00167447"/>
    <w:rsid w:val="00167917"/>
    <w:rsid w:val="001702C8"/>
    <w:rsid w:val="00170872"/>
    <w:rsid w:val="001718C9"/>
    <w:rsid w:val="00171FE0"/>
    <w:rsid w:val="00172D67"/>
    <w:rsid w:val="001738AC"/>
    <w:rsid w:val="00173D99"/>
    <w:rsid w:val="00173F57"/>
    <w:rsid w:val="00174080"/>
    <w:rsid w:val="00174BB6"/>
    <w:rsid w:val="00174FEE"/>
    <w:rsid w:val="00175B2F"/>
    <w:rsid w:val="00176E10"/>
    <w:rsid w:val="0017732D"/>
    <w:rsid w:val="00177663"/>
    <w:rsid w:val="00177734"/>
    <w:rsid w:val="0018060A"/>
    <w:rsid w:val="00182AFF"/>
    <w:rsid w:val="001835BD"/>
    <w:rsid w:val="00183EAB"/>
    <w:rsid w:val="001842FE"/>
    <w:rsid w:val="00185236"/>
    <w:rsid w:val="00185335"/>
    <w:rsid w:val="0018551D"/>
    <w:rsid w:val="0018563A"/>
    <w:rsid w:val="00185D38"/>
    <w:rsid w:val="00185D47"/>
    <w:rsid w:val="00185F51"/>
    <w:rsid w:val="001860B7"/>
    <w:rsid w:val="00186847"/>
    <w:rsid w:val="00186FBE"/>
    <w:rsid w:val="0018741A"/>
    <w:rsid w:val="00187B62"/>
    <w:rsid w:val="00187ECE"/>
    <w:rsid w:val="00187FB7"/>
    <w:rsid w:val="0019001E"/>
    <w:rsid w:val="001900A4"/>
    <w:rsid w:val="00190BED"/>
    <w:rsid w:val="00190CD7"/>
    <w:rsid w:val="00190D5A"/>
    <w:rsid w:val="00191047"/>
    <w:rsid w:val="001913AD"/>
    <w:rsid w:val="00191DB0"/>
    <w:rsid w:val="00194359"/>
    <w:rsid w:val="00194A9F"/>
    <w:rsid w:val="00195414"/>
    <w:rsid w:val="0019583B"/>
    <w:rsid w:val="001969F5"/>
    <w:rsid w:val="00196D35"/>
    <w:rsid w:val="00197513"/>
    <w:rsid w:val="001A0438"/>
    <w:rsid w:val="001A0924"/>
    <w:rsid w:val="001A1721"/>
    <w:rsid w:val="001A1910"/>
    <w:rsid w:val="001A1D18"/>
    <w:rsid w:val="001A1F93"/>
    <w:rsid w:val="001A2421"/>
    <w:rsid w:val="001A2F01"/>
    <w:rsid w:val="001A3BDD"/>
    <w:rsid w:val="001A3F7C"/>
    <w:rsid w:val="001A43D5"/>
    <w:rsid w:val="001A4D65"/>
    <w:rsid w:val="001A5603"/>
    <w:rsid w:val="001A5669"/>
    <w:rsid w:val="001A69FC"/>
    <w:rsid w:val="001A79D0"/>
    <w:rsid w:val="001B4E6F"/>
    <w:rsid w:val="001B65A3"/>
    <w:rsid w:val="001B6C67"/>
    <w:rsid w:val="001B7023"/>
    <w:rsid w:val="001B7A6C"/>
    <w:rsid w:val="001C0CD3"/>
    <w:rsid w:val="001C254D"/>
    <w:rsid w:val="001C4B19"/>
    <w:rsid w:val="001C4EAE"/>
    <w:rsid w:val="001C5713"/>
    <w:rsid w:val="001D0111"/>
    <w:rsid w:val="001D017D"/>
    <w:rsid w:val="001D15FF"/>
    <w:rsid w:val="001D2DDB"/>
    <w:rsid w:val="001D396A"/>
    <w:rsid w:val="001D3D4C"/>
    <w:rsid w:val="001D3D52"/>
    <w:rsid w:val="001D525A"/>
    <w:rsid w:val="001D6FB9"/>
    <w:rsid w:val="001D7004"/>
    <w:rsid w:val="001D718E"/>
    <w:rsid w:val="001E0DD3"/>
    <w:rsid w:val="001E0E59"/>
    <w:rsid w:val="001E1042"/>
    <w:rsid w:val="001E2BAC"/>
    <w:rsid w:val="001E3F82"/>
    <w:rsid w:val="001E45BF"/>
    <w:rsid w:val="001E4A1A"/>
    <w:rsid w:val="001E553A"/>
    <w:rsid w:val="001E5D41"/>
    <w:rsid w:val="001E6331"/>
    <w:rsid w:val="001E6DFB"/>
    <w:rsid w:val="001E7175"/>
    <w:rsid w:val="001E7A70"/>
    <w:rsid w:val="001F018C"/>
    <w:rsid w:val="001F030E"/>
    <w:rsid w:val="001F1472"/>
    <w:rsid w:val="001F1B21"/>
    <w:rsid w:val="001F1B8F"/>
    <w:rsid w:val="001F374A"/>
    <w:rsid w:val="001F3766"/>
    <w:rsid w:val="001F3996"/>
    <w:rsid w:val="001F447F"/>
    <w:rsid w:val="001F4FC3"/>
    <w:rsid w:val="001F5169"/>
    <w:rsid w:val="001F6119"/>
    <w:rsid w:val="001F624F"/>
    <w:rsid w:val="001F7EC2"/>
    <w:rsid w:val="001F7FDF"/>
    <w:rsid w:val="002005DF"/>
    <w:rsid w:val="00201498"/>
    <w:rsid w:val="002015AF"/>
    <w:rsid w:val="00201CB2"/>
    <w:rsid w:val="002028A4"/>
    <w:rsid w:val="00202D9F"/>
    <w:rsid w:val="00203A94"/>
    <w:rsid w:val="002050E2"/>
    <w:rsid w:val="002054F9"/>
    <w:rsid w:val="00205AD1"/>
    <w:rsid w:val="002072C9"/>
    <w:rsid w:val="0020735A"/>
    <w:rsid w:val="00210651"/>
    <w:rsid w:val="00210D12"/>
    <w:rsid w:val="00210E29"/>
    <w:rsid w:val="00212C08"/>
    <w:rsid w:val="00213BB6"/>
    <w:rsid w:val="00213BD0"/>
    <w:rsid w:val="00214D9B"/>
    <w:rsid w:val="00215732"/>
    <w:rsid w:val="002157BC"/>
    <w:rsid w:val="00220282"/>
    <w:rsid w:val="00220529"/>
    <w:rsid w:val="00223040"/>
    <w:rsid w:val="002246C2"/>
    <w:rsid w:val="00224F9B"/>
    <w:rsid w:val="00227E8A"/>
    <w:rsid w:val="00230A23"/>
    <w:rsid w:val="00230AA7"/>
    <w:rsid w:val="00230B3D"/>
    <w:rsid w:val="00231E03"/>
    <w:rsid w:val="0023268E"/>
    <w:rsid w:val="002327A2"/>
    <w:rsid w:val="00232B86"/>
    <w:rsid w:val="002332BC"/>
    <w:rsid w:val="002333E7"/>
    <w:rsid w:val="0023410C"/>
    <w:rsid w:val="00234580"/>
    <w:rsid w:val="002345A1"/>
    <w:rsid w:val="00235011"/>
    <w:rsid w:val="00236BA3"/>
    <w:rsid w:val="00237C92"/>
    <w:rsid w:val="002413EE"/>
    <w:rsid w:val="00241679"/>
    <w:rsid w:val="00243AA4"/>
    <w:rsid w:val="00243C8C"/>
    <w:rsid w:val="00243CB5"/>
    <w:rsid w:val="002443A8"/>
    <w:rsid w:val="00245AD6"/>
    <w:rsid w:val="00246276"/>
    <w:rsid w:val="0024753A"/>
    <w:rsid w:val="0024797C"/>
    <w:rsid w:val="00247B9D"/>
    <w:rsid w:val="00250071"/>
    <w:rsid w:val="0025010E"/>
    <w:rsid w:val="00250B96"/>
    <w:rsid w:val="00250FC6"/>
    <w:rsid w:val="00251853"/>
    <w:rsid w:val="00251FAC"/>
    <w:rsid w:val="00253303"/>
    <w:rsid w:val="00253433"/>
    <w:rsid w:val="00253903"/>
    <w:rsid w:val="00253EF1"/>
    <w:rsid w:val="00254100"/>
    <w:rsid w:val="0025456D"/>
    <w:rsid w:val="00256832"/>
    <w:rsid w:val="00256C03"/>
    <w:rsid w:val="00257613"/>
    <w:rsid w:val="00257DA8"/>
    <w:rsid w:val="00261493"/>
    <w:rsid w:val="00261750"/>
    <w:rsid w:val="00261E2C"/>
    <w:rsid w:val="0026334C"/>
    <w:rsid w:val="0026400B"/>
    <w:rsid w:val="00264BE1"/>
    <w:rsid w:val="00265D03"/>
    <w:rsid w:val="00265EB7"/>
    <w:rsid w:val="002676F5"/>
    <w:rsid w:val="00267EBB"/>
    <w:rsid w:val="00270412"/>
    <w:rsid w:val="00270739"/>
    <w:rsid w:val="00271501"/>
    <w:rsid w:val="002720F5"/>
    <w:rsid w:val="00272475"/>
    <w:rsid w:val="0027344B"/>
    <w:rsid w:val="002737EF"/>
    <w:rsid w:val="00274CAD"/>
    <w:rsid w:val="00275670"/>
    <w:rsid w:val="00275B58"/>
    <w:rsid w:val="00276EE4"/>
    <w:rsid w:val="00276FDA"/>
    <w:rsid w:val="0027795E"/>
    <w:rsid w:val="0028058E"/>
    <w:rsid w:val="00281E75"/>
    <w:rsid w:val="0028252E"/>
    <w:rsid w:val="00282F79"/>
    <w:rsid w:val="00283483"/>
    <w:rsid w:val="00283B58"/>
    <w:rsid w:val="002845B0"/>
    <w:rsid w:val="002859EF"/>
    <w:rsid w:val="00285AF1"/>
    <w:rsid w:val="0029050E"/>
    <w:rsid w:val="00292DEC"/>
    <w:rsid w:val="00292F72"/>
    <w:rsid w:val="00293115"/>
    <w:rsid w:val="00293A2B"/>
    <w:rsid w:val="00293B99"/>
    <w:rsid w:val="00293D02"/>
    <w:rsid w:val="00294222"/>
    <w:rsid w:val="0029478B"/>
    <w:rsid w:val="00295D76"/>
    <w:rsid w:val="00296690"/>
    <w:rsid w:val="002967FD"/>
    <w:rsid w:val="002A1127"/>
    <w:rsid w:val="002A1228"/>
    <w:rsid w:val="002A2420"/>
    <w:rsid w:val="002A5BEB"/>
    <w:rsid w:val="002A6326"/>
    <w:rsid w:val="002B0E1F"/>
    <w:rsid w:val="002B376D"/>
    <w:rsid w:val="002B5592"/>
    <w:rsid w:val="002B59F3"/>
    <w:rsid w:val="002B5D19"/>
    <w:rsid w:val="002B62D6"/>
    <w:rsid w:val="002B6C1A"/>
    <w:rsid w:val="002B76A4"/>
    <w:rsid w:val="002B7D72"/>
    <w:rsid w:val="002C01FC"/>
    <w:rsid w:val="002C13D3"/>
    <w:rsid w:val="002C1543"/>
    <w:rsid w:val="002C2762"/>
    <w:rsid w:val="002C42B2"/>
    <w:rsid w:val="002C4D38"/>
    <w:rsid w:val="002C5D53"/>
    <w:rsid w:val="002C6656"/>
    <w:rsid w:val="002C7116"/>
    <w:rsid w:val="002C7F22"/>
    <w:rsid w:val="002D1246"/>
    <w:rsid w:val="002D1993"/>
    <w:rsid w:val="002D1D14"/>
    <w:rsid w:val="002D4019"/>
    <w:rsid w:val="002D5462"/>
    <w:rsid w:val="002D59BA"/>
    <w:rsid w:val="002D5CFE"/>
    <w:rsid w:val="002D5E23"/>
    <w:rsid w:val="002D62A5"/>
    <w:rsid w:val="002D6D64"/>
    <w:rsid w:val="002D713B"/>
    <w:rsid w:val="002E0EBA"/>
    <w:rsid w:val="002E2AA7"/>
    <w:rsid w:val="002E4150"/>
    <w:rsid w:val="002E4D7C"/>
    <w:rsid w:val="002E5B81"/>
    <w:rsid w:val="002E6164"/>
    <w:rsid w:val="002E61CB"/>
    <w:rsid w:val="002E6554"/>
    <w:rsid w:val="002E6838"/>
    <w:rsid w:val="002E71BD"/>
    <w:rsid w:val="002E7308"/>
    <w:rsid w:val="002E7C20"/>
    <w:rsid w:val="002F3261"/>
    <w:rsid w:val="002F3DFD"/>
    <w:rsid w:val="002F5EB9"/>
    <w:rsid w:val="002F6129"/>
    <w:rsid w:val="002F7250"/>
    <w:rsid w:val="002F7D51"/>
    <w:rsid w:val="003002EE"/>
    <w:rsid w:val="00300F38"/>
    <w:rsid w:val="0030160B"/>
    <w:rsid w:val="00301EF5"/>
    <w:rsid w:val="00302A53"/>
    <w:rsid w:val="00302D05"/>
    <w:rsid w:val="00302F3E"/>
    <w:rsid w:val="00303D74"/>
    <w:rsid w:val="003040D0"/>
    <w:rsid w:val="003052D5"/>
    <w:rsid w:val="0030553B"/>
    <w:rsid w:val="00305AF5"/>
    <w:rsid w:val="00305B31"/>
    <w:rsid w:val="00306138"/>
    <w:rsid w:val="00306680"/>
    <w:rsid w:val="00307D40"/>
    <w:rsid w:val="00310BE6"/>
    <w:rsid w:val="003110A1"/>
    <w:rsid w:val="00311CD5"/>
    <w:rsid w:val="003126EB"/>
    <w:rsid w:val="003149CE"/>
    <w:rsid w:val="0031514F"/>
    <w:rsid w:val="00315932"/>
    <w:rsid w:val="0031593D"/>
    <w:rsid w:val="00316063"/>
    <w:rsid w:val="00321185"/>
    <w:rsid w:val="00321882"/>
    <w:rsid w:val="003218B9"/>
    <w:rsid w:val="00321CDB"/>
    <w:rsid w:val="00321E29"/>
    <w:rsid w:val="00322AA8"/>
    <w:rsid w:val="00322D2A"/>
    <w:rsid w:val="00323930"/>
    <w:rsid w:val="003246A2"/>
    <w:rsid w:val="003257BC"/>
    <w:rsid w:val="00325C52"/>
    <w:rsid w:val="003260D6"/>
    <w:rsid w:val="00327189"/>
    <w:rsid w:val="0032788E"/>
    <w:rsid w:val="00330976"/>
    <w:rsid w:val="00330F9F"/>
    <w:rsid w:val="00331C83"/>
    <w:rsid w:val="00332122"/>
    <w:rsid w:val="00332D92"/>
    <w:rsid w:val="003341C2"/>
    <w:rsid w:val="00334327"/>
    <w:rsid w:val="00335048"/>
    <w:rsid w:val="00335655"/>
    <w:rsid w:val="00336FF7"/>
    <w:rsid w:val="003377D3"/>
    <w:rsid w:val="003406EB"/>
    <w:rsid w:val="0034168A"/>
    <w:rsid w:val="003416A6"/>
    <w:rsid w:val="00341CEA"/>
    <w:rsid w:val="00342043"/>
    <w:rsid w:val="00343549"/>
    <w:rsid w:val="00343A9E"/>
    <w:rsid w:val="00344898"/>
    <w:rsid w:val="00345580"/>
    <w:rsid w:val="0034627D"/>
    <w:rsid w:val="00347DD1"/>
    <w:rsid w:val="00347F7B"/>
    <w:rsid w:val="00350EE4"/>
    <w:rsid w:val="003528CA"/>
    <w:rsid w:val="00352909"/>
    <w:rsid w:val="00352E55"/>
    <w:rsid w:val="003531FC"/>
    <w:rsid w:val="003536EA"/>
    <w:rsid w:val="00353F01"/>
    <w:rsid w:val="00355729"/>
    <w:rsid w:val="003568A8"/>
    <w:rsid w:val="00356FD8"/>
    <w:rsid w:val="00361436"/>
    <w:rsid w:val="003616DB"/>
    <w:rsid w:val="0036281B"/>
    <w:rsid w:val="00362EF8"/>
    <w:rsid w:val="003639DF"/>
    <w:rsid w:val="00363CBA"/>
    <w:rsid w:val="00363EF9"/>
    <w:rsid w:val="00364106"/>
    <w:rsid w:val="003648B8"/>
    <w:rsid w:val="00365C10"/>
    <w:rsid w:val="00365DAD"/>
    <w:rsid w:val="00366F46"/>
    <w:rsid w:val="00367E02"/>
    <w:rsid w:val="00372554"/>
    <w:rsid w:val="00373399"/>
    <w:rsid w:val="003734B5"/>
    <w:rsid w:val="00373A3A"/>
    <w:rsid w:val="00374CC7"/>
    <w:rsid w:val="00375F76"/>
    <w:rsid w:val="00376378"/>
    <w:rsid w:val="00376869"/>
    <w:rsid w:val="003776FF"/>
    <w:rsid w:val="00380369"/>
    <w:rsid w:val="003810EA"/>
    <w:rsid w:val="003814D1"/>
    <w:rsid w:val="00381E3C"/>
    <w:rsid w:val="003822D1"/>
    <w:rsid w:val="0038231A"/>
    <w:rsid w:val="003823C9"/>
    <w:rsid w:val="00382A09"/>
    <w:rsid w:val="00382AC7"/>
    <w:rsid w:val="00383081"/>
    <w:rsid w:val="00383B39"/>
    <w:rsid w:val="00383EAC"/>
    <w:rsid w:val="00384051"/>
    <w:rsid w:val="003844DA"/>
    <w:rsid w:val="00384C61"/>
    <w:rsid w:val="003855E0"/>
    <w:rsid w:val="00385DE3"/>
    <w:rsid w:val="00385FD8"/>
    <w:rsid w:val="003863F1"/>
    <w:rsid w:val="00386D63"/>
    <w:rsid w:val="00386DA4"/>
    <w:rsid w:val="003910D8"/>
    <w:rsid w:val="003912A1"/>
    <w:rsid w:val="00391DBB"/>
    <w:rsid w:val="003927EB"/>
    <w:rsid w:val="00392EE9"/>
    <w:rsid w:val="003935FB"/>
    <w:rsid w:val="00393627"/>
    <w:rsid w:val="00393C80"/>
    <w:rsid w:val="003962E9"/>
    <w:rsid w:val="00396378"/>
    <w:rsid w:val="0039646A"/>
    <w:rsid w:val="003967B7"/>
    <w:rsid w:val="003A0E1D"/>
    <w:rsid w:val="003A12AE"/>
    <w:rsid w:val="003A1533"/>
    <w:rsid w:val="003A1969"/>
    <w:rsid w:val="003A213C"/>
    <w:rsid w:val="003A2203"/>
    <w:rsid w:val="003A24D6"/>
    <w:rsid w:val="003A2766"/>
    <w:rsid w:val="003A374B"/>
    <w:rsid w:val="003A6408"/>
    <w:rsid w:val="003B0423"/>
    <w:rsid w:val="003B0446"/>
    <w:rsid w:val="003B09C1"/>
    <w:rsid w:val="003B0E70"/>
    <w:rsid w:val="003B184F"/>
    <w:rsid w:val="003B1B3D"/>
    <w:rsid w:val="003B295A"/>
    <w:rsid w:val="003B2D4C"/>
    <w:rsid w:val="003B3318"/>
    <w:rsid w:val="003B342D"/>
    <w:rsid w:val="003B3572"/>
    <w:rsid w:val="003B39A2"/>
    <w:rsid w:val="003B4653"/>
    <w:rsid w:val="003B52A7"/>
    <w:rsid w:val="003C027F"/>
    <w:rsid w:val="003C2D10"/>
    <w:rsid w:val="003C3117"/>
    <w:rsid w:val="003C31C2"/>
    <w:rsid w:val="003C3594"/>
    <w:rsid w:val="003C3AE8"/>
    <w:rsid w:val="003C3E0D"/>
    <w:rsid w:val="003C5237"/>
    <w:rsid w:val="003C6B62"/>
    <w:rsid w:val="003C7596"/>
    <w:rsid w:val="003C78B5"/>
    <w:rsid w:val="003C7D16"/>
    <w:rsid w:val="003D06D2"/>
    <w:rsid w:val="003D1B24"/>
    <w:rsid w:val="003D24A2"/>
    <w:rsid w:val="003D38C9"/>
    <w:rsid w:val="003D3E56"/>
    <w:rsid w:val="003D65C5"/>
    <w:rsid w:val="003D6680"/>
    <w:rsid w:val="003D7347"/>
    <w:rsid w:val="003E0A75"/>
    <w:rsid w:val="003E1530"/>
    <w:rsid w:val="003E1C55"/>
    <w:rsid w:val="003E275B"/>
    <w:rsid w:val="003E2957"/>
    <w:rsid w:val="003E3241"/>
    <w:rsid w:val="003E32E3"/>
    <w:rsid w:val="003E494B"/>
    <w:rsid w:val="003E52FC"/>
    <w:rsid w:val="003E54B1"/>
    <w:rsid w:val="003E570F"/>
    <w:rsid w:val="003F16E5"/>
    <w:rsid w:val="003F1939"/>
    <w:rsid w:val="003F20D7"/>
    <w:rsid w:val="003F252B"/>
    <w:rsid w:val="003F3178"/>
    <w:rsid w:val="003F3805"/>
    <w:rsid w:val="003F5415"/>
    <w:rsid w:val="003F635B"/>
    <w:rsid w:val="003F7F18"/>
    <w:rsid w:val="004004FE"/>
    <w:rsid w:val="00400A17"/>
    <w:rsid w:val="00400A70"/>
    <w:rsid w:val="00400C1C"/>
    <w:rsid w:val="00401E29"/>
    <w:rsid w:val="00402D08"/>
    <w:rsid w:val="00403695"/>
    <w:rsid w:val="004038E7"/>
    <w:rsid w:val="0040398D"/>
    <w:rsid w:val="00404B04"/>
    <w:rsid w:val="00404E73"/>
    <w:rsid w:val="00404F31"/>
    <w:rsid w:val="00405402"/>
    <w:rsid w:val="004079CC"/>
    <w:rsid w:val="00413BB8"/>
    <w:rsid w:val="0041435C"/>
    <w:rsid w:val="00415029"/>
    <w:rsid w:val="00415C99"/>
    <w:rsid w:val="004164CB"/>
    <w:rsid w:val="00416EC1"/>
    <w:rsid w:val="00417898"/>
    <w:rsid w:val="0042030B"/>
    <w:rsid w:val="00421A90"/>
    <w:rsid w:val="00421B59"/>
    <w:rsid w:val="00421D84"/>
    <w:rsid w:val="00422570"/>
    <w:rsid w:val="00422ED9"/>
    <w:rsid w:val="004231AE"/>
    <w:rsid w:val="0042327E"/>
    <w:rsid w:val="004238DA"/>
    <w:rsid w:val="00423F29"/>
    <w:rsid w:val="00424662"/>
    <w:rsid w:val="00424C9B"/>
    <w:rsid w:val="004260E4"/>
    <w:rsid w:val="00426722"/>
    <w:rsid w:val="00426AF9"/>
    <w:rsid w:val="004270E5"/>
    <w:rsid w:val="004279C8"/>
    <w:rsid w:val="00431EEF"/>
    <w:rsid w:val="00433E5C"/>
    <w:rsid w:val="004349B7"/>
    <w:rsid w:val="00434FAA"/>
    <w:rsid w:val="0043504F"/>
    <w:rsid w:val="00436394"/>
    <w:rsid w:val="00436DD2"/>
    <w:rsid w:val="0043717B"/>
    <w:rsid w:val="00437287"/>
    <w:rsid w:val="004412EB"/>
    <w:rsid w:val="004414DD"/>
    <w:rsid w:val="00441748"/>
    <w:rsid w:val="00442B33"/>
    <w:rsid w:val="00444B00"/>
    <w:rsid w:val="00444FA9"/>
    <w:rsid w:val="0044556A"/>
    <w:rsid w:val="00447173"/>
    <w:rsid w:val="00447B01"/>
    <w:rsid w:val="00450155"/>
    <w:rsid w:val="00450E20"/>
    <w:rsid w:val="0045159C"/>
    <w:rsid w:val="00452170"/>
    <w:rsid w:val="0045274D"/>
    <w:rsid w:val="00452DA1"/>
    <w:rsid w:val="00455FE6"/>
    <w:rsid w:val="00456257"/>
    <w:rsid w:val="00457B42"/>
    <w:rsid w:val="004605D9"/>
    <w:rsid w:val="004611A4"/>
    <w:rsid w:val="00461BF0"/>
    <w:rsid w:val="00461EBB"/>
    <w:rsid w:val="0046295E"/>
    <w:rsid w:val="00462E6A"/>
    <w:rsid w:val="0046321B"/>
    <w:rsid w:val="004633C9"/>
    <w:rsid w:val="00465DB5"/>
    <w:rsid w:val="00465E3F"/>
    <w:rsid w:val="0046603D"/>
    <w:rsid w:val="0046635A"/>
    <w:rsid w:val="00467D04"/>
    <w:rsid w:val="0047090B"/>
    <w:rsid w:val="00471F6D"/>
    <w:rsid w:val="0047220A"/>
    <w:rsid w:val="0047262B"/>
    <w:rsid w:val="00472A96"/>
    <w:rsid w:val="00472E21"/>
    <w:rsid w:val="0047355F"/>
    <w:rsid w:val="00473BA0"/>
    <w:rsid w:val="00473BE5"/>
    <w:rsid w:val="00473BEB"/>
    <w:rsid w:val="00474DBF"/>
    <w:rsid w:val="004756E3"/>
    <w:rsid w:val="0047599A"/>
    <w:rsid w:val="00475D30"/>
    <w:rsid w:val="004762CF"/>
    <w:rsid w:val="0047652E"/>
    <w:rsid w:val="00477403"/>
    <w:rsid w:val="00477CF2"/>
    <w:rsid w:val="00477D9E"/>
    <w:rsid w:val="00480E43"/>
    <w:rsid w:val="0048143B"/>
    <w:rsid w:val="00481C31"/>
    <w:rsid w:val="00482087"/>
    <w:rsid w:val="004821C0"/>
    <w:rsid w:val="00483F1A"/>
    <w:rsid w:val="0048591D"/>
    <w:rsid w:val="00485D1F"/>
    <w:rsid w:val="0048608E"/>
    <w:rsid w:val="0048657D"/>
    <w:rsid w:val="00486B52"/>
    <w:rsid w:val="0048715C"/>
    <w:rsid w:val="00487295"/>
    <w:rsid w:val="00490068"/>
    <w:rsid w:val="004900A4"/>
    <w:rsid w:val="00490582"/>
    <w:rsid w:val="00490B18"/>
    <w:rsid w:val="004919C6"/>
    <w:rsid w:val="004927DD"/>
    <w:rsid w:val="00492994"/>
    <w:rsid w:val="00494B53"/>
    <w:rsid w:val="00494C6E"/>
    <w:rsid w:val="00495152"/>
    <w:rsid w:val="00496D6B"/>
    <w:rsid w:val="004973DF"/>
    <w:rsid w:val="004A139B"/>
    <w:rsid w:val="004A1529"/>
    <w:rsid w:val="004A16D6"/>
    <w:rsid w:val="004A3DC6"/>
    <w:rsid w:val="004A3EEF"/>
    <w:rsid w:val="004A3F8E"/>
    <w:rsid w:val="004A56A4"/>
    <w:rsid w:val="004A59B3"/>
    <w:rsid w:val="004A5B38"/>
    <w:rsid w:val="004A764A"/>
    <w:rsid w:val="004B0159"/>
    <w:rsid w:val="004B0325"/>
    <w:rsid w:val="004B0743"/>
    <w:rsid w:val="004B0F80"/>
    <w:rsid w:val="004B21CD"/>
    <w:rsid w:val="004B2EC4"/>
    <w:rsid w:val="004B4A5E"/>
    <w:rsid w:val="004B4BF3"/>
    <w:rsid w:val="004B4E24"/>
    <w:rsid w:val="004B4E2B"/>
    <w:rsid w:val="004B5D19"/>
    <w:rsid w:val="004B6304"/>
    <w:rsid w:val="004B6C50"/>
    <w:rsid w:val="004B74B3"/>
    <w:rsid w:val="004B7549"/>
    <w:rsid w:val="004C083D"/>
    <w:rsid w:val="004C0F95"/>
    <w:rsid w:val="004C1D58"/>
    <w:rsid w:val="004C20B1"/>
    <w:rsid w:val="004C241A"/>
    <w:rsid w:val="004C2642"/>
    <w:rsid w:val="004C2A6B"/>
    <w:rsid w:val="004C3D3A"/>
    <w:rsid w:val="004C4AA8"/>
    <w:rsid w:val="004C4F9F"/>
    <w:rsid w:val="004C50A0"/>
    <w:rsid w:val="004C570A"/>
    <w:rsid w:val="004C575A"/>
    <w:rsid w:val="004C68E6"/>
    <w:rsid w:val="004C76FB"/>
    <w:rsid w:val="004D027B"/>
    <w:rsid w:val="004D0F2B"/>
    <w:rsid w:val="004D160D"/>
    <w:rsid w:val="004D1EC7"/>
    <w:rsid w:val="004D220F"/>
    <w:rsid w:val="004D2FE8"/>
    <w:rsid w:val="004D30D7"/>
    <w:rsid w:val="004D31B6"/>
    <w:rsid w:val="004D3E48"/>
    <w:rsid w:val="004D3ED6"/>
    <w:rsid w:val="004D3FDD"/>
    <w:rsid w:val="004D427A"/>
    <w:rsid w:val="004D4AF9"/>
    <w:rsid w:val="004D5297"/>
    <w:rsid w:val="004D5F9D"/>
    <w:rsid w:val="004D6102"/>
    <w:rsid w:val="004E03AF"/>
    <w:rsid w:val="004E0E02"/>
    <w:rsid w:val="004E1CA1"/>
    <w:rsid w:val="004E25F6"/>
    <w:rsid w:val="004E48AE"/>
    <w:rsid w:val="004E646C"/>
    <w:rsid w:val="004E6D1D"/>
    <w:rsid w:val="004E76D3"/>
    <w:rsid w:val="004F0448"/>
    <w:rsid w:val="004F0795"/>
    <w:rsid w:val="004F0FCB"/>
    <w:rsid w:val="004F400E"/>
    <w:rsid w:val="004F430E"/>
    <w:rsid w:val="004F4C13"/>
    <w:rsid w:val="004F504F"/>
    <w:rsid w:val="004F57F7"/>
    <w:rsid w:val="004F70E1"/>
    <w:rsid w:val="00500D13"/>
    <w:rsid w:val="00501362"/>
    <w:rsid w:val="00502028"/>
    <w:rsid w:val="005026EF"/>
    <w:rsid w:val="0050324D"/>
    <w:rsid w:val="00503703"/>
    <w:rsid w:val="00504432"/>
    <w:rsid w:val="0050458D"/>
    <w:rsid w:val="0050612C"/>
    <w:rsid w:val="0050732B"/>
    <w:rsid w:val="00507D97"/>
    <w:rsid w:val="00510434"/>
    <w:rsid w:val="00510915"/>
    <w:rsid w:val="005110FE"/>
    <w:rsid w:val="00511CC0"/>
    <w:rsid w:val="00511CD9"/>
    <w:rsid w:val="00512679"/>
    <w:rsid w:val="00512B64"/>
    <w:rsid w:val="00512BFB"/>
    <w:rsid w:val="00512D34"/>
    <w:rsid w:val="00512F16"/>
    <w:rsid w:val="005131D3"/>
    <w:rsid w:val="0051400F"/>
    <w:rsid w:val="00515150"/>
    <w:rsid w:val="00515368"/>
    <w:rsid w:val="005161FC"/>
    <w:rsid w:val="00516686"/>
    <w:rsid w:val="00520220"/>
    <w:rsid w:val="005218F6"/>
    <w:rsid w:val="00522CD0"/>
    <w:rsid w:val="00522D68"/>
    <w:rsid w:val="0052763F"/>
    <w:rsid w:val="00527709"/>
    <w:rsid w:val="0052787E"/>
    <w:rsid w:val="005279FA"/>
    <w:rsid w:val="005305C2"/>
    <w:rsid w:val="00530B5C"/>
    <w:rsid w:val="005328E1"/>
    <w:rsid w:val="0053306D"/>
    <w:rsid w:val="00537A1F"/>
    <w:rsid w:val="00537B98"/>
    <w:rsid w:val="00541E71"/>
    <w:rsid w:val="005428F3"/>
    <w:rsid w:val="00542FC2"/>
    <w:rsid w:val="00543367"/>
    <w:rsid w:val="00546062"/>
    <w:rsid w:val="005461D9"/>
    <w:rsid w:val="0054685E"/>
    <w:rsid w:val="00547D83"/>
    <w:rsid w:val="00547FA2"/>
    <w:rsid w:val="0055008E"/>
    <w:rsid w:val="0055031E"/>
    <w:rsid w:val="00550611"/>
    <w:rsid w:val="00551D64"/>
    <w:rsid w:val="00554CE6"/>
    <w:rsid w:val="00554DD2"/>
    <w:rsid w:val="00554E38"/>
    <w:rsid w:val="00554E72"/>
    <w:rsid w:val="00556689"/>
    <w:rsid w:val="00556A3F"/>
    <w:rsid w:val="00556FA3"/>
    <w:rsid w:val="005572A4"/>
    <w:rsid w:val="005578B6"/>
    <w:rsid w:val="00557EA9"/>
    <w:rsid w:val="005604CC"/>
    <w:rsid w:val="00560652"/>
    <w:rsid w:val="0056091F"/>
    <w:rsid w:val="00560D50"/>
    <w:rsid w:val="00561804"/>
    <w:rsid w:val="00561E7C"/>
    <w:rsid w:val="005621CF"/>
    <w:rsid w:val="00563049"/>
    <w:rsid w:val="0056311F"/>
    <w:rsid w:val="0056368C"/>
    <w:rsid w:val="00564B10"/>
    <w:rsid w:val="00564DEE"/>
    <w:rsid w:val="00565051"/>
    <w:rsid w:val="00565716"/>
    <w:rsid w:val="005670E3"/>
    <w:rsid w:val="005676A9"/>
    <w:rsid w:val="00567752"/>
    <w:rsid w:val="0057198B"/>
    <w:rsid w:val="00571FF0"/>
    <w:rsid w:val="0057226C"/>
    <w:rsid w:val="005723A2"/>
    <w:rsid w:val="005733E8"/>
    <w:rsid w:val="00575B03"/>
    <w:rsid w:val="00576432"/>
    <w:rsid w:val="00576BCE"/>
    <w:rsid w:val="00581625"/>
    <w:rsid w:val="00581978"/>
    <w:rsid w:val="00581B47"/>
    <w:rsid w:val="00581C94"/>
    <w:rsid w:val="0058291D"/>
    <w:rsid w:val="00583A0C"/>
    <w:rsid w:val="00583BB2"/>
    <w:rsid w:val="00585C83"/>
    <w:rsid w:val="005878CE"/>
    <w:rsid w:val="005903AD"/>
    <w:rsid w:val="005909B4"/>
    <w:rsid w:val="00590A54"/>
    <w:rsid w:val="00590C7D"/>
    <w:rsid w:val="00592A33"/>
    <w:rsid w:val="0059330B"/>
    <w:rsid w:val="005947A6"/>
    <w:rsid w:val="00596ACA"/>
    <w:rsid w:val="005974EB"/>
    <w:rsid w:val="005A1377"/>
    <w:rsid w:val="005A2AE5"/>
    <w:rsid w:val="005A2BC9"/>
    <w:rsid w:val="005A309F"/>
    <w:rsid w:val="005A3FD9"/>
    <w:rsid w:val="005A4155"/>
    <w:rsid w:val="005A53FD"/>
    <w:rsid w:val="005A575F"/>
    <w:rsid w:val="005A5CC1"/>
    <w:rsid w:val="005A6883"/>
    <w:rsid w:val="005A7B2A"/>
    <w:rsid w:val="005A7C18"/>
    <w:rsid w:val="005A7E12"/>
    <w:rsid w:val="005B0541"/>
    <w:rsid w:val="005B0FD8"/>
    <w:rsid w:val="005B2649"/>
    <w:rsid w:val="005B37B4"/>
    <w:rsid w:val="005B478C"/>
    <w:rsid w:val="005B51CE"/>
    <w:rsid w:val="005B68FF"/>
    <w:rsid w:val="005B6E35"/>
    <w:rsid w:val="005B7D1A"/>
    <w:rsid w:val="005C1FEB"/>
    <w:rsid w:val="005C44C6"/>
    <w:rsid w:val="005C4BCC"/>
    <w:rsid w:val="005C624B"/>
    <w:rsid w:val="005D056C"/>
    <w:rsid w:val="005D1BA0"/>
    <w:rsid w:val="005D1D7A"/>
    <w:rsid w:val="005D34DA"/>
    <w:rsid w:val="005D483B"/>
    <w:rsid w:val="005D4ABD"/>
    <w:rsid w:val="005D59D8"/>
    <w:rsid w:val="005D6A33"/>
    <w:rsid w:val="005E440F"/>
    <w:rsid w:val="005E59DE"/>
    <w:rsid w:val="005E611A"/>
    <w:rsid w:val="005E6F83"/>
    <w:rsid w:val="005E7CF0"/>
    <w:rsid w:val="005F00C2"/>
    <w:rsid w:val="005F27C6"/>
    <w:rsid w:val="005F2888"/>
    <w:rsid w:val="005F3150"/>
    <w:rsid w:val="005F325E"/>
    <w:rsid w:val="005F3567"/>
    <w:rsid w:val="005F41C1"/>
    <w:rsid w:val="005F4A29"/>
    <w:rsid w:val="005F4A78"/>
    <w:rsid w:val="005F4BDA"/>
    <w:rsid w:val="005F4EAE"/>
    <w:rsid w:val="005F5668"/>
    <w:rsid w:val="005F5B0A"/>
    <w:rsid w:val="005F6FD5"/>
    <w:rsid w:val="005F720B"/>
    <w:rsid w:val="005F7452"/>
    <w:rsid w:val="005F7A5A"/>
    <w:rsid w:val="00600CE0"/>
    <w:rsid w:val="00601552"/>
    <w:rsid w:val="006019D3"/>
    <w:rsid w:val="006020BC"/>
    <w:rsid w:val="0060242B"/>
    <w:rsid w:val="006024DB"/>
    <w:rsid w:val="00602627"/>
    <w:rsid w:val="00602885"/>
    <w:rsid w:val="006031D8"/>
    <w:rsid w:val="00604FAF"/>
    <w:rsid w:val="00604FCB"/>
    <w:rsid w:val="0060582F"/>
    <w:rsid w:val="006059FB"/>
    <w:rsid w:val="00606970"/>
    <w:rsid w:val="00607026"/>
    <w:rsid w:val="00607801"/>
    <w:rsid w:val="00610EE1"/>
    <w:rsid w:val="00611C5F"/>
    <w:rsid w:val="00612560"/>
    <w:rsid w:val="00612C8C"/>
    <w:rsid w:val="006131AB"/>
    <w:rsid w:val="0061342D"/>
    <w:rsid w:val="006137CA"/>
    <w:rsid w:val="00615547"/>
    <w:rsid w:val="00616C01"/>
    <w:rsid w:val="00616C6E"/>
    <w:rsid w:val="006201B7"/>
    <w:rsid w:val="0062055D"/>
    <w:rsid w:val="00621621"/>
    <w:rsid w:val="006217FD"/>
    <w:rsid w:val="00623245"/>
    <w:rsid w:val="006233C8"/>
    <w:rsid w:val="00623E0D"/>
    <w:rsid w:val="006254CC"/>
    <w:rsid w:val="00626066"/>
    <w:rsid w:val="0062619C"/>
    <w:rsid w:val="006270DE"/>
    <w:rsid w:val="00627254"/>
    <w:rsid w:val="0063075B"/>
    <w:rsid w:val="0063109E"/>
    <w:rsid w:val="006315D7"/>
    <w:rsid w:val="006317CD"/>
    <w:rsid w:val="0063186B"/>
    <w:rsid w:val="00632319"/>
    <w:rsid w:val="00632ED8"/>
    <w:rsid w:val="00634B3D"/>
    <w:rsid w:val="006353CF"/>
    <w:rsid w:val="00636173"/>
    <w:rsid w:val="0063737A"/>
    <w:rsid w:val="006376A1"/>
    <w:rsid w:val="00637924"/>
    <w:rsid w:val="00637992"/>
    <w:rsid w:val="00641390"/>
    <w:rsid w:val="006425FE"/>
    <w:rsid w:val="00643BA7"/>
    <w:rsid w:val="00643DFB"/>
    <w:rsid w:val="00643E28"/>
    <w:rsid w:val="00643E32"/>
    <w:rsid w:val="00643F0A"/>
    <w:rsid w:val="00644370"/>
    <w:rsid w:val="00645C5A"/>
    <w:rsid w:val="00647479"/>
    <w:rsid w:val="0064747E"/>
    <w:rsid w:val="0065043A"/>
    <w:rsid w:val="00650F7C"/>
    <w:rsid w:val="0065437B"/>
    <w:rsid w:val="0065437F"/>
    <w:rsid w:val="006558FB"/>
    <w:rsid w:val="00655CEE"/>
    <w:rsid w:val="00656699"/>
    <w:rsid w:val="006577DB"/>
    <w:rsid w:val="00657A7A"/>
    <w:rsid w:val="00657C99"/>
    <w:rsid w:val="006601ED"/>
    <w:rsid w:val="0066056A"/>
    <w:rsid w:val="0066097C"/>
    <w:rsid w:val="00660DC5"/>
    <w:rsid w:val="006611D2"/>
    <w:rsid w:val="0066130C"/>
    <w:rsid w:val="006620F2"/>
    <w:rsid w:val="0066224F"/>
    <w:rsid w:val="006624AA"/>
    <w:rsid w:val="0066257C"/>
    <w:rsid w:val="00662E15"/>
    <w:rsid w:val="00662E69"/>
    <w:rsid w:val="00663006"/>
    <w:rsid w:val="0066409F"/>
    <w:rsid w:val="00664288"/>
    <w:rsid w:val="00664648"/>
    <w:rsid w:val="00664909"/>
    <w:rsid w:val="00664D68"/>
    <w:rsid w:val="00665939"/>
    <w:rsid w:val="006664C0"/>
    <w:rsid w:val="0066783A"/>
    <w:rsid w:val="006704FF"/>
    <w:rsid w:val="006715A0"/>
    <w:rsid w:val="00671BEF"/>
    <w:rsid w:val="00672042"/>
    <w:rsid w:val="00673E20"/>
    <w:rsid w:val="00674965"/>
    <w:rsid w:val="00675900"/>
    <w:rsid w:val="006767E7"/>
    <w:rsid w:val="00676BCC"/>
    <w:rsid w:val="00680862"/>
    <w:rsid w:val="00680D87"/>
    <w:rsid w:val="00681B7C"/>
    <w:rsid w:val="00682817"/>
    <w:rsid w:val="00683A2D"/>
    <w:rsid w:val="00684471"/>
    <w:rsid w:val="00684619"/>
    <w:rsid w:val="00686017"/>
    <w:rsid w:val="006861AD"/>
    <w:rsid w:val="00686542"/>
    <w:rsid w:val="00686A7F"/>
    <w:rsid w:val="006877C0"/>
    <w:rsid w:val="00687814"/>
    <w:rsid w:val="00687973"/>
    <w:rsid w:val="0069013F"/>
    <w:rsid w:val="00692925"/>
    <w:rsid w:val="00692F34"/>
    <w:rsid w:val="0069454B"/>
    <w:rsid w:val="00694EB8"/>
    <w:rsid w:val="00695212"/>
    <w:rsid w:val="0069583B"/>
    <w:rsid w:val="00695BFA"/>
    <w:rsid w:val="0069690D"/>
    <w:rsid w:val="006979B4"/>
    <w:rsid w:val="006A047D"/>
    <w:rsid w:val="006A1099"/>
    <w:rsid w:val="006A1123"/>
    <w:rsid w:val="006A18DE"/>
    <w:rsid w:val="006A1DFC"/>
    <w:rsid w:val="006A1E5F"/>
    <w:rsid w:val="006A4253"/>
    <w:rsid w:val="006A58EF"/>
    <w:rsid w:val="006A5FDA"/>
    <w:rsid w:val="006A60EE"/>
    <w:rsid w:val="006A76F1"/>
    <w:rsid w:val="006A77A8"/>
    <w:rsid w:val="006B134E"/>
    <w:rsid w:val="006B16F1"/>
    <w:rsid w:val="006B23D0"/>
    <w:rsid w:val="006B3331"/>
    <w:rsid w:val="006B345F"/>
    <w:rsid w:val="006B3473"/>
    <w:rsid w:val="006B42A5"/>
    <w:rsid w:val="006B4615"/>
    <w:rsid w:val="006B4D79"/>
    <w:rsid w:val="006B4E42"/>
    <w:rsid w:val="006B5349"/>
    <w:rsid w:val="006B577E"/>
    <w:rsid w:val="006B6B31"/>
    <w:rsid w:val="006B753A"/>
    <w:rsid w:val="006B7D68"/>
    <w:rsid w:val="006B7DA0"/>
    <w:rsid w:val="006C0C61"/>
    <w:rsid w:val="006C1861"/>
    <w:rsid w:val="006C226E"/>
    <w:rsid w:val="006C7139"/>
    <w:rsid w:val="006C71C9"/>
    <w:rsid w:val="006D0671"/>
    <w:rsid w:val="006D0985"/>
    <w:rsid w:val="006D137C"/>
    <w:rsid w:val="006D1FAB"/>
    <w:rsid w:val="006D279C"/>
    <w:rsid w:val="006D3174"/>
    <w:rsid w:val="006D4045"/>
    <w:rsid w:val="006D4A90"/>
    <w:rsid w:val="006D5B17"/>
    <w:rsid w:val="006D6BEA"/>
    <w:rsid w:val="006D6C04"/>
    <w:rsid w:val="006D7272"/>
    <w:rsid w:val="006E0E38"/>
    <w:rsid w:val="006E1614"/>
    <w:rsid w:val="006E1DED"/>
    <w:rsid w:val="006E3804"/>
    <w:rsid w:val="006E3EC7"/>
    <w:rsid w:val="006E4DF3"/>
    <w:rsid w:val="006E63CB"/>
    <w:rsid w:val="006E7771"/>
    <w:rsid w:val="006F129F"/>
    <w:rsid w:val="006F1513"/>
    <w:rsid w:val="006F2B57"/>
    <w:rsid w:val="006F4AD3"/>
    <w:rsid w:val="006F5E92"/>
    <w:rsid w:val="006F606E"/>
    <w:rsid w:val="006F62F4"/>
    <w:rsid w:val="006F6FD5"/>
    <w:rsid w:val="006F7148"/>
    <w:rsid w:val="006F715B"/>
    <w:rsid w:val="006F74D1"/>
    <w:rsid w:val="006F74E7"/>
    <w:rsid w:val="00700BDE"/>
    <w:rsid w:val="007014C3"/>
    <w:rsid w:val="0070235C"/>
    <w:rsid w:val="00703B2A"/>
    <w:rsid w:val="007049B9"/>
    <w:rsid w:val="0070539F"/>
    <w:rsid w:val="00705D32"/>
    <w:rsid w:val="00705F69"/>
    <w:rsid w:val="007062EC"/>
    <w:rsid w:val="00706E67"/>
    <w:rsid w:val="007100C0"/>
    <w:rsid w:val="0071191D"/>
    <w:rsid w:val="00711A85"/>
    <w:rsid w:val="00711DBF"/>
    <w:rsid w:val="00712184"/>
    <w:rsid w:val="007136BD"/>
    <w:rsid w:val="00714A70"/>
    <w:rsid w:val="007159A9"/>
    <w:rsid w:val="00715C99"/>
    <w:rsid w:val="00716B10"/>
    <w:rsid w:val="00716FDD"/>
    <w:rsid w:val="00717AD7"/>
    <w:rsid w:val="00720AE4"/>
    <w:rsid w:val="007216BF"/>
    <w:rsid w:val="007219D8"/>
    <w:rsid w:val="007220A6"/>
    <w:rsid w:val="00722569"/>
    <w:rsid w:val="00722972"/>
    <w:rsid w:val="00723248"/>
    <w:rsid w:val="007244A4"/>
    <w:rsid w:val="00724D34"/>
    <w:rsid w:val="007260A1"/>
    <w:rsid w:val="0073015D"/>
    <w:rsid w:val="0073043C"/>
    <w:rsid w:val="00730621"/>
    <w:rsid w:val="00730829"/>
    <w:rsid w:val="00731CC6"/>
    <w:rsid w:val="007329CF"/>
    <w:rsid w:val="0073306D"/>
    <w:rsid w:val="007335BD"/>
    <w:rsid w:val="00734103"/>
    <w:rsid w:val="0073455A"/>
    <w:rsid w:val="0073475E"/>
    <w:rsid w:val="00734CFE"/>
    <w:rsid w:val="00734F1B"/>
    <w:rsid w:val="00734F2E"/>
    <w:rsid w:val="00735E32"/>
    <w:rsid w:val="00735FB6"/>
    <w:rsid w:val="007362F4"/>
    <w:rsid w:val="00737ACE"/>
    <w:rsid w:val="007404DF"/>
    <w:rsid w:val="00742823"/>
    <w:rsid w:val="00742A23"/>
    <w:rsid w:val="007441D0"/>
    <w:rsid w:val="00746084"/>
    <w:rsid w:val="007470ED"/>
    <w:rsid w:val="00750218"/>
    <w:rsid w:val="00750388"/>
    <w:rsid w:val="007506B8"/>
    <w:rsid w:val="007515F4"/>
    <w:rsid w:val="007532A9"/>
    <w:rsid w:val="00753E84"/>
    <w:rsid w:val="0075443B"/>
    <w:rsid w:val="00754B15"/>
    <w:rsid w:val="00754CA4"/>
    <w:rsid w:val="00755A77"/>
    <w:rsid w:val="00755B13"/>
    <w:rsid w:val="00755C37"/>
    <w:rsid w:val="00756DB3"/>
    <w:rsid w:val="007574DF"/>
    <w:rsid w:val="007607D5"/>
    <w:rsid w:val="007622BE"/>
    <w:rsid w:val="007628CF"/>
    <w:rsid w:val="00763230"/>
    <w:rsid w:val="007635B2"/>
    <w:rsid w:val="0076386D"/>
    <w:rsid w:val="0076560B"/>
    <w:rsid w:val="007657D4"/>
    <w:rsid w:val="00765EB5"/>
    <w:rsid w:val="00767B3E"/>
    <w:rsid w:val="00771486"/>
    <w:rsid w:val="0077150A"/>
    <w:rsid w:val="00772135"/>
    <w:rsid w:val="00772261"/>
    <w:rsid w:val="00773139"/>
    <w:rsid w:val="00773149"/>
    <w:rsid w:val="00774989"/>
    <w:rsid w:val="00774AFF"/>
    <w:rsid w:val="00774CF8"/>
    <w:rsid w:val="00775F63"/>
    <w:rsid w:val="007768EB"/>
    <w:rsid w:val="00777337"/>
    <w:rsid w:val="00777C44"/>
    <w:rsid w:val="007801E0"/>
    <w:rsid w:val="007814FF"/>
    <w:rsid w:val="0078206A"/>
    <w:rsid w:val="00782F7C"/>
    <w:rsid w:val="007836C0"/>
    <w:rsid w:val="00784160"/>
    <w:rsid w:val="0078530A"/>
    <w:rsid w:val="00785660"/>
    <w:rsid w:val="007877E3"/>
    <w:rsid w:val="00790106"/>
    <w:rsid w:val="00790D5F"/>
    <w:rsid w:val="00791045"/>
    <w:rsid w:val="00794B2D"/>
    <w:rsid w:val="00794BCE"/>
    <w:rsid w:val="00795056"/>
    <w:rsid w:val="007960EC"/>
    <w:rsid w:val="007966AC"/>
    <w:rsid w:val="00797DDB"/>
    <w:rsid w:val="007A0645"/>
    <w:rsid w:val="007A0F27"/>
    <w:rsid w:val="007A1CC9"/>
    <w:rsid w:val="007A4AC0"/>
    <w:rsid w:val="007A6173"/>
    <w:rsid w:val="007A672F"/>
    <w:rsid w:val="007A786C"/>
    <w:rsid w:val="007B1136"/>
    <w:rsid w:val="007B1B17"/>
    <w:rsid w:val="007B1F28"/>
    <w:rsid w:val="007B3A44"/>
    <w:rsid w:val="007B4108"/>
    <w:rsid w:val="007B4F30"/>
    <w:rsid w:val="007B54EF"/>
    <w:rsid w:val="007B5ED6"/>
    <w:rsid w:val="007B63B1"/>
    <w:rsid w:val="007B688B"/>
    <w:rsid w:val="007B71BD"/>
    <w:rsid w:val="007B76B3"/>
    <w:rsid w:val="007B791C"/>
    <w:rsid w:val="007C0754"/>
    <w:rsid w:val="007C20EE"/>
    <w:rsid w:val="007C5B50"/>
    <w:rsid w:val="007C5C98"/>
    <w:rsid w:val="007C6843"/>
    <w:rsid w:val="007C765A"/>
    <w:rsid w:val="007C7BDF"/>
    <w:rsid w:val="007D0AF2"/>
    <w:rsid w:val="007D1715"/>
    <w:rsid w:val="007D178B"/>
    <w:rsid w:val="007D17ED"/>
    <w:rsid w:val="007D1CDE"/>
    <w:rsid w:val="007D2C57"/>
    <w:rsid w:val="007D37CF"/>
    <w:rsid w:val="007D4E20"/>
    <w:rsid w:val="007D5486"/>
    <w:rsid w:val="007D6CBC"/>
    <w:rsid w:val="007D72EC"/>
    <w:rsid w:val="007D78E8"/>
    <w:rsid w:val="007D7BFF"/>
    <w:rsid w:val="007D7D5A"/>
    <w:rsid w:val="007E0D6E"/>
    <w:rsid w:val="007E1E1A"/>
    <w:rsid w:val="007E278A"/>
    <w:rsid w:val="007E3231"/>
    <w:rsid w:val="007E4F3B"/>
    <w:rsid w:val="007E7692"/>
    <w:rsid w:val="007F01E5"/>
    <w:rsid w:val="007F0D7A"/>
    <w:rsid w:val="007F0EC9"/>
    <w:rsid w:val="007F0F9A"/>
    <w:rsid w:val="007F0FCB"/>
    <w:rsid w:val="007F14FB"/>
    <w:rsid w:val="007F2EFD"/>
    <w:rsid w:val="007F3AF6"/>
    <w:rsid w:val="007F4A0D"/>
    <w:rsid w:val="007F566F"/>
    <w:rsid w:val="008011C5"/>
    <w:rsid w:val="008016E7"/>
    <w:rsid w:val="0080188E"/>
    <w:rsid w:val="008028FF"/>
    <w:rsid w:val="008029E9"/>
    <w:rsid w:val="00802BFD"/>
    <w:rsid w:val="00803ADB"/>
    <w:rsid w:val="0080466D"/>
    <w:rsid w:val="00804D5C"/>
    <w:rsid w:val="008054C0"/>
    <w:rsid w:val="0080698A"/>
    <w:rsid w:val="00806E8B"/>
    <w:rsid w:val="0081117E"/>
    <w:rsid w:val="00813BE8"/>
    <w:rsid w:val="0081445B"/>
    <w:rsid w:val="008154CA"/>
    <w:rsid w:val="00816497"/>
    <w:rsid w:val="008168F6"/>
    <w:rsid w:val="00816B49"/>
    <w:rsid w:val="00820136"/>
    <w:rsid w:val="008203C8"/>
    <w:rsid w:val="008208CC"/>
    <w:rsid w:val="00820CF9"/>
    <w:rsid w:val="008212BA"/>
    <w:rsid w:val="00821B8A"/>
    <w:rsid w:val="00822735"/>
    <w:rsid w:val="0082285D"/>
    <w:rsid w:val="00822B84"/>
    <w:rsid w:val="008240CE"/>
    <w:rsid w:val="0082419F"/>
    <w:rsid w:val="00824D5D"/>
    <w:rsid w:val="00824FBF"/>
    <w:rsid w:val="008250B5"/>
    <w:rsid w:val="00826536"/>
    <w:rsid w:val="00826643"/>
    <w:rsid w:val="008276D2"/>
    <w:rsid w:val="00827831"/>
    <w:rsid w:val="00827E7D"/>
    <w:rsid w:val="00830BB1"/>
    <w:rsid w:val="00831F8D"/>
    <w:rsid w:val="0083263F"/>
    <w:rsid w:val="008327CE"/>
    <w:rsid w:val="008329FC"/>
    <w:rsid w:val="00832D0A"/>
    <w:rsid w:val="00833D81"/>
    <w:rsid w:val="00833E0A"/>
    <w:rsid w:val="00834143"/>
    <w:rsid w:val="0083560B"/>
    <w:rsid w:val="00836694"/>
    <w:rsid w:val="00836E4C"/>
    <w:rsid w:val="0083707B"/>
    <w:rsid w:val="008376FD"/>
    <w:rsid w:val="008412DD"/>
    <w:rsid w:val="008444FD"/>
    <w:rsid w:val="008455FA"/>
    <w:rsid w:val="0084565D"/>
    <w:rsid w:val="008462F0"/>
    <w:rsid w:val="00846649"/>
    <w:rsid w:val="00847A4D"/>
    <w:rsid w:val="008524A9"/>
    <w:rsid w:val="00853E3E"/>
    <w:rsid w:val="00854722"/>
    <w:rsid w:val="00855067"/>
    <w:rsid w:val="00855EED"/>
    <w:rsid w:val="00856151"/>
    <w:rsid w:val="008568D1"/>
    <w:rsid w:val="00860157"/>
    <w:rsid w:val="008601D7"/>
    <w:rsid w:val="00860271"/>
    <w:rsid w:val="008603A9"/>
    <w:rsid w:val="00861790"/>
    <w:rsid w:val="00863F08"/>
    <w:rsid w:val="00864C8A"/>
    <w:rsid w:val="008652E1"/>
    <w:rsid w:val="00867662"/>
    <w:rsid w:val="00867872"/>
    <w:rsid w:val="00867DEB"/>
    <w:rsid w:val="00870615"/>
    <w:rsid w:val="008706FE"/>
    <w:rsid w:val="008707CB"/>
    <w:rsid w:val="00870AAE"/>
    <w:rsid w:val="00870C9E"/>
    <w:rsid w:val="00870E5A"/>
    <w:rsid w:val="00871392"/>
    <w:rsid w:val="00871C55"/>
    <w:rsid w:val="00871EF8"/>
    <w:rsid w:val="00871F91"/>
    <w:rsid w:val="0087285C"/>
    <w:rsid w:val="00872B38"/>
    <w:rsid w:val="00872B93"/>
    <w:rsid w:val="00873C84"/>
    <w:rsid w:val="00874AA4"/>
    <w:rsid w:val="00874CF5"/>
    <w:rsid w:val="00874E32"/>
    <w:rsid w:val="00874FC0"/>
    <w:rsid w:val="00875841"/>
    <w:rsid w:val="00875E1D"/>
    <w:rsid w:val="00877D53"/>
    <w:rsid w:val="00877DE3"/>
    <w:rsid w:val="00880B9D"/>
    <w:rsid w:val="008812BF"/>
    <w:rsid w:val="00881630"/>
    <w:rsid w:val="00881EC9"/>
    <w:rsid w:val="00881F37"/>
    <w:rsid w:val="00882407"/>
    <w:rsid w:val="0088263D"/>
    <w:rsid w:val="00882B75"/>
    <w:rsid w:val="00882C72"/>
    <w:rsid w:val="00882EF0"/>
    <w:rsid w:val="00883A48"/>
    <w:rsid w:val="008848DC"/>
    <w:rsid w:val="00885815"/>
    <w:rsid w:val="00885C43"/>
    <w:rsid w:val="00886402"/>
    <w:rsid w:val="00887986"/>
    <w:rsid w:val="0089063F"/>
    <w:rsid w:val="00892075"/>
    <w:rsid w:val="00892A2F"/>
    <w:rsid w:val="00892FB4"/>
    <w:rsid w:val="0089377A"/>
    <w:rsid w:val="00894363"/>
    <w:rsid w:val="00894570"/>
    <w:rsid w:val="00894CDD"/>
    <w:rsid w:val="008958F2"/>
    <w:rsid w:val="00897140"/>
    <w:rsid w:val="00897CDF"/>
    <w:rsid w:val="008A1766"/>
    <w:rsid w:val="008A1DAB"/>
    <w:rsid w:val="008A2B57"/>
    <w:rsid w:val="008A37A1"/>
    <w:rsid w:val="008A4E94"/>
    <w:rsid w:val="008A5B27"/>
    <w:rsid w:val="008A5F35"/>
    <w:rsid w:val="008A6296"/>
    <w:rsid w:val="008A706A"/>
    <w:rsid w:val="008B05CC"/>
    <w:rsid w:val="008B061E"/>
    <w:rsid w:val="008B0FEE"/>
    <w:rsid w:val="008B14DA"/>
    <w:rsid w:val="008B1990"/>
    <w:rsid w:val="008B2286"/>
    <w:rsid w:val="008B35EE"/>
    <w:rsid w:val="008B3E7C"/>
    <w:rsid w:val="008B4033"/>
    <w:rsid w:val="008B405B"/>
    <w:rsid w:val="008B44E8"/>
    <w:rsid w:val="008B49E0"/>
    <w:rsid w:val="008B556D"/>
    <w:rsid w:val="008B6A57"/>
    <w:rsid w:val="008B7A46"/>
    <w:rsid w:val="008C01D4"/>
    <w:rsid w:val="008C0B85"/>
    <w:rsid w:val="008C18F6"/>
    <w:rsid w:val="008C197F"/>
    <w:rsid w:val="008C240E"/>
    <w:rsid w:val="008C2B5C"/>
    <w:rsid w:val="008C33F8"/>
    <w:rsid w:val="008C468E"/>
    <w:rsid w:val="008C4AC7"/>
    <w:rsid w:val="008C6271"/>
    <w:rsid w:val="008C6FBE"/>
    <w:rsid w:val="008C7211"/>
    <w:rsid w:val="008C7A2C"/>
    <w:rsid w:val="008D0320"/>
    <w:rsid w:val="008D07F4"/>
    <w:rsid w:val="008D125C"/>
    <w:rsid w:val="008D2884"/>
    <w:rsid w:val="008D2E17"/>
    <w:rsid w:val="008D3DD1"/>
    <w:rsid w:val="008D426C"/>
    <w:rsid w:val="008D460A"/>
    <w:rsid w:val="008D467E"/>
    <w:rsid w:val="008D715C"/>
    <w:rsid w:val="008D79B2"/>
    <w:rsid w:val="008D7ED0"/>
    <w:rsid w:val="008E2972"/>
    <w:rsid w:val="008E30E9"/>
    <w:rsid w:val="008E5F44"/>
    <w:rsid w:val="008E61AE"/>
    <w:rsid w:val="008E7865"/>
    <w:rsid w:val="008F0784"/>
    <w:rsid w:val="008F18D1"/>
    <w:rsid w:val="008F26DF"/>
    <w:rsid w:val="008F3077"/>
    <w:rsid w:val="008F3390"/>
    <w:rsid w:val="008F38EF"/>
    <w:rsid w:val="008F4FEE"/>
    <w:rsid w:val="008F5106"/>
    <w:rsid w:val="008F5B95"/>
    <w:rsid w:val="008F6B1D"/>
    <w:rsid w:val="008F7990"/>
    <w:rsid w:val="00900BD7"/>
    <w:rsid w:val="009024CB"/>
    <w:rsid w:val="0090274A"/>
    <w:rsid w:val="00902EF1"/>
    <w:rsid w:val="009031DB"/>
    <w:rsid w:val="00903C11"/>
    <w:rsid w:val="00903DDA"/>
    <w:rsid w:val="00904115"/>
    <w:rsid w:val="009044F4"/>
    <w:rsid w:val="00905154"/>
    <w:rsid w:val="00905286"/>
    <w:rsid w:val="00906519"/>
    <w:rsid w:val="009114C1"/>
    <w:rsid w:val="009115C7"/>
    <w:rsid w:val="00912233"/>
    <w:rsid w:val="00912B9D"/>
    <w:rsid w:val="009139CD"/>
    <w:rsid w:val="00913FE4"/>
    <w:rsid w:val="009149B1"/>
    <w:rsid w:val="0091571C"/>
    <w:rsid w:val="009169EC"/>
    <w:rsid w:val="009171C6"/>
    <w:rsid w:val="0091730E"/>
    <w:rsid w:val="009177DA"/>
    <w:rsid w:val="0092078F"/>
    <w:rsid w:val="0092081A"/>
    <w:rsid w:val="00920D44"/>
    <w:rsid w:val="0092110D"/>
    <w:rsid w:val="009211DA"/>
    <w:rsid w:val="00921244"/>
    <w:rsid w:val="00921C78"/>
    <w:rsid w:val="00922680"/>
    <w:rsid w:val="00923832"/>
    <w:rsid w:val="00923F1E"/>
    <w:rsid w:val="00924047"/>
    <w:rsid w:val="009240EA"/>
    <w:rsid w:val="00924A5F"/>
    <w:rsid w:val="00924F91"/>
    <w:rsid w:val="00925702"/>
    <w:rsid w:val="00925828"/>
    <w:rsid w:val="00925852"/>
    <w:rsid w:val="00925B85"/>
    <w:rsid w:val="0092633C"/>
    <w:rsid w:val="00926D1F"/>
    <w:rsid w:val="0093016D"/>
    <w:rsid w:val="009304E0"/>
    <w:rsid w:val="00930C01"/>
    <w:rsid w:val="00930C42"/>
    <w:rsid w:val="00930CE2"/>
    <w:rsid w:val="009324FA"/>
    <w:rsid w:val="00932CEB"/>
    <w:rsid w:val="00932EF0"/>
    <w:rsid w:val="009330FA"/>
    <w:rsid w:val="009333B1"/>
    <w:rsid w:val="009334B7"/>
    <w:rsid w:val="009347EF"/>
    <w:rsid w:val="00934F59"/>
    <w:rsid w:val="00935419"/>
    <w:rsid w:val="00935AB2"/>
    <w:rsid w:val="00935EBC"/>
    <w:rsid w:val="00935F95"/>
    <w:rsid w:val="009365A0"/>
    <w:rsid w:val="00937DCD"/>
    <w:rsid w:val="00937F72"/>
    <w:rsid w:val="00941D80"/>
    <w:rsid w:val="00943E7A"/>
    <w:rsid w:val="00944707"/>
    <w:rsid w:val="0094499D"/>
    <w:rsid w:val="009456E6"/>
    <w:rsid w:val="00945FF7"/>
    <w:rsid w:val="0094628E"/>
    <w:rsid w:val="00946629"/>
    <w:rsid w:val="00946942"/>
    <w:rsid w:val="00946E28"/>
    <w:rsid w:val="00947F61"/>
    <w:rsid w:val="0095041F"/>
    <w:rsid w:val="009512F3"/>
    <w:rsid w:val="00951A06"/>
    <w:rsid w:val="00952492"/>
    <w:rsid w:val="009526CD"/>
    <w:rsid w:val="009532E2"/>
    <w:rsid w:val="009535B1"/>
    <w:rsid w:val="00954BC9"/>
    <w:rsid w:val="00955248"/>
    <w:rsid w:val="009553C3"/>
    <w:rsid w:val="00957ABE"/>
    <w:rsid w:val="0096284C"/>
    <w:rsid w:val="00963571"/>
    <w:rsid w:val="00963B51"/>
    <w:rsid w:val="00964E0D"/>
    <w:rsid w:val="0096513A"/>
    <w:rsid w:val="009654DF"/>
    <w:rsid w:val="009667CE"/>
    <w:rsid w:val="00966881"/>
    <w:rsid w:val="0096718C"/>
    <w:rsid w:val="00967C7E"/>
    <w:rsid w:val="00967CB3"/>
    <w:rsid w:val="00970704"/>
    <w:rsid w:val="00970AEA"/>
    <w:rsid w:val="009716A9"/>
    <w:rsid w:val="009718BD"/>
    <w:rsid w:val="00971D46"/>
    <w:rsid w:val="00971F93"/>
    <w:rsid w:val="00972E6E"/>
    <w:rsid w:val="00973523"/>
    <w:rsid w:val="00974C28"/>
    <w:rsid w:val="009752D8"/>
    <w:rsid w:val="00976143"/>
    <w:rsid w:val="0097695C"/>
    <w:rsid w:val="00976A46"/>
    <w:rsid w:val="00976FC2"/>
    <w:rsid w:val="00977255"/>
    <w:rsid w:val="00977398"/>
    <w:rsid w:val="009775DB"/>
    <w:rsid w:val="00977C67"/>
    <w:rsid w:val="009805F0"/>
    <w:rsid w:val="00980D0F"/>
    <w:rsid w:val="00981128"/>
    <w:rsid w:val="009819CB"/>
    <w:rsid w:val="009822E3"/>
    <w:rsid w:val="00983CB0"/>
    <w:rsid w:val="00984764"/>
    <w:rsid w:val="00985A70"/>
    <w:rsid w:val="009864F8"/>
    <w:rsid w:val="00986BAF"/>
    <w:rsid w:val="009879E6"/>
    <w:rsid w:val="00987C69"/>
    <w:rsid w:val="009904BB"/>
    <w:rsid w:val="0099121E"/>
    <w:rsid w:val="00991B8E"/>
    <w:rsid w:val="00992FF7"/>
    <w:rsid w:val="009937F6"/>
    <w:rsid w:val="00994440"/>
    <w:rsid w:val="00994872"/>
    <w:rsid w:val="00994F2C"/>
    <w:rsid w:val="00995690"/>
    <w:rsid w:val="00995A87"/>
    <w:rsid w:val="009A0993"/>
    <w:rsid w:val="009A11A6"/>
    <w:rsid w:val="009A1646"/>
    <w:rsid w:val="009A2222"/>
    <w:rsid w:val="009A2FB1"/>
    <w:rsid w:val="009A3888"/>
    <w:rsid w:val="009A504B"/>
    <w:rsid w:val="009A52E8"/>
    <w:rsid w:val="009A571C"/>
    <w:rsid w:val="009A5B2B"/>
    <w:rsid w:val="009A672D"/>
    <w:rsid w:val="009A68FA"/>
    <w:rsid w:val="009A74D5"/>
    <w:rsid w:val="009A74F0"/>
    <w:rsid w:val="009A7AAE"/>
    <w:rsid w:val="009B0304"/>
    <w:rsid w:val="009B0F66"/>
    <w:rsid w:val="009B17E9"/>
    <w:rsid w:val="009B29D4"/>
    <w:rsid w:val="009B2F8B"/>
    <w:rsid w:val="009B3570"/>
    <w:rsid w:val="009B3672"/>
    <w:rsid w:val="009B4DBC"/>
    <w:rsid w:val="009B50B9"/>
    <w:rsid w:val="009B56EA"/>
    <w:rsid w:val="009B6861"/>
    <w:rsid w:val="009C0CBB"/>
    <w:rsid w:val="009C1371"/>
    <w:rsid w:val="009C245A"/>
    <w:rsid w:val="009C29EA"/>
    <w:rsid w:val="009C2A6F"/>
    <w:rsid w:val="009C3B05"/>
    <w:rsid w:val="009C3CA0"/>
    <w:rsid w:val="009C3D3B"/>
    <w:rsid w:val="009C3E73"/>
    <w:rsid w:val="009C516E"/>
    <w:rsid w:val="009C597F"/>
    <w:rsid w:val="009C69CB"/>
    <w:rsid w:val="009C7521"/>
    <w:rsid w:val="009C792E"/>
    <w:rsid w:val="009C7DC6"/>
    <w:rsid w:val="009D1D4C"/>
    <w:rsid w:val="009D2DE6"/>
    <w:rsid w:val="009D2EE3"/>
    <w:rsid w:val="009D34CA"/>
    <w:rsid w:val="009D48A1"/>
    <w:rsid w:val="009D48CE"/>
    <w:rsid w:val="009D4FCF"/>
    <w:rsid w:val="009D540F"/>
    <w:rsid w:val="009D55BB"/>
    <w:rsid w:val="009D6A44"/>
    <w:rsid w:val="009D7C4A"/>
    <w:rsid w:val="009E13E1"/>
    <w:rsid w:val="009E336A"/>
    <w:rsid w:val="009E34FC"/>
    <w:rsid w:val="009E3F80"/>
    <w:rsid w:val="009E3FF6"/>
    <w:rsid w:val="009E4BBD"/>
    <w:rsid w:val="009E518F"/>
    <w:rsid w:val="009E652E"/>
    <w:rsid w:val="009F05D6"/>
    <w:rsid w:val="009F2E49"/>
    <w:rsid w:val="009F356D"/>
    <w:rsid w:val="009F3806"/>
    <w:rsid w:val="009F4B3D"/>
    <w:rsid w:val="009F512D"/>
    <w:rsid w:val="009F5577"/>
    <w:rsid w:val="00A002A5"/>
    <w:rsid w:val="00A02216"/>
    <w:rsid w:val="00A0380E"/>
    <w:rsid w:val="00A046C4"/>
    <w:rsid w:val="00A04BDB"/>
    <w:rsid w:val="00A05864"/>
    <w:rsid w:val="00A06458"/>
    <w:rsid w:val="00A06776"/>
    <w:rsid w:val="00A0768D"/>
    <w:rsid w:val="00A07959"/>
    <w:rsid w:val="00A1177A"/>
    <w:rsid w:val="00A124BC"/>
    <w:rsid w:val="00A136B5"/>
    <w:rsid w:val="00A13877"/>
    <w:rsid w:val="00A139E6"/>
    <w:rsid w:val="00A15161"/>
    <w:rsid w:val="00A1689C"/>
    <w:rsid w:val="00A16F93"/>
    <w:rsid w:val="00A16FF6"/>
    <w:rsid w:val="00A20459"/>
    <w:rsid w:val="00A208C3"/>
    <w:rsid w:val="00A20916"/>
    <w:rsid w:val="00A21507"/>
    <w:rsid w:val="00A2226F"/>
    <w:rsid w:val="00A222A2"/>
    <w:rsid w:val="00A23355"/>
    <w:rsid w:val="00A25BEF"/>
    <w:rsid w:val="00A25DEB"/>
    <w:rsid w:val="00A26B99"/>
    <w:rsid w:val="00A3014F"/>
    <w:rsid w:val="00A30A51"/>
    <w:rsid w:val="00A3188A"/>
    <w:rsid w:val="00A31CF0"/>
    <w:rsid w:val="00A31D9D"/>
    <w:rsid w:val="00A320D2"/>
    <w:rsid w:val="00A3254F"/>
    <w:rsid w:val="00A32FF8"/>
    <w:rsid w:val="00A34277"/>
    <w:rsid w:val="00A347A7"/>
    <w:rsid w:val="00A35B8F"/>
    <w:rsid w:val="00A35E0F"/>
    <w:rsid w:val="00A3643F"/>
    <w:rsid w:val="00A37831"/>
    <w:rsid w:val="00A37F8C"/>
    <w:rsid w:val="00A404AD"/>
    <w:rsid w:val="00A40E9F"/>
    <w:rsid w:val="00A415A9"/>
    <w:rsid w:val="00A41CC1"/>
    <w:rsid w:val="00A42B61"/>
    <w:rsid w:val="00A42F0C"/>
    <w:rsid w:val="00A4406D"/>
    <w:rsid w:val="00A46752"/>
    <w:rsid w:val="00A509A3"/>
    <w:rsid w:val="00A51001"/>
    <w:rsid w:val="00A5174B"/>
    <w:rsid w:val="00A53930"/>
    <w:rsid w:val="00A54468"/>
    <w:rsid w:val="00A545C5"/>
    <w:rsid w:val="00A5468E"/>
    <w:rsid w:val="00A54A96"/>
    <w:rsid w:val="00A55AAD"/>
    <w:rsid w:val="00A567DC"/>
    <w:rsid w:val="00A57E80"/>
    <w:rsid w:val="00A602E9"/>
    <w:rsid w:val="00A60C80"/>
    <w:rsid w:val="00A61BC6"/>
    <w:rsid w:val="00A623C2"/>
    <w:rsid w:val="00A62920"/>
    <w:rsid w:val="00A6349A"/>
    <w:rsid w:val="00A63C01"/>
    <w:rsid w:val="00A64541"/>
    <w:rsid w:val="00A64D19"/>
    <w:rsid w:val="00A66C92"/>
    <w:rsid w:val="00A66DF7"/>
    <w:rsid w:val="00A67B23"/>
    <w:rsid w:val="00A70F08"/>
    <w:rsid w:val="00A70F2D"/>
    <w:rsid w:val="00A7120C"/>
    <w:rsid w:val="00A71486"/>
    <w:rsid w:val="00A71986"/>
    <w:rsid w:val="00A72339"/>
    <w:rsid w:val="00A72C6C"/>
    <w:rsid w:val="00A730FE"/>
    <w:rsid w:val="00A7326B"/>
    <w:rsid w:val="00A7463A"/>
    <w:rsid w:val="00A75483"/>
    <w:rsid w:val="00A77CB9"/>
    <w:rsid w:val="00A810B0"/>
    <w:rsid w:val="00A81830"/>
    <w:rsid w:val="00A8211A"/>
    <w:rsid w:val="00A8219B"/>
    <w:rsid w:val="00A8300F"/>
    <w:rsid w:val="00A844F5"/>
    <w:rsid w:val="00A8690E"/>
    <w:rsid w:val="00A871D1"/>
    <w:rsid w:val="00A87300"/>
    <w:rsid w:val="00A875E3"/>
    <w:rsid w:val="00A8771D"/>
    <w:rsid w:val="00A90FF6"/>
    <w:rsid w:val="00A91089"/>
    <w:rsid w:val="00A914CD"/>
    <w:rsid w:val="00A91707"/>
    <w:rsid w:val="00A92248"/>
    <w:rsid w:val="00A93095"/>
    <w:rsid w:val="00A94108"/>
    <w:rsid w:val="00A9514B"/>
    <w:rsid w:val="00A9525F"/>
    <w:rsid w:val="00A9536F"/>
    <w:rsid w:val="00A95CCF"/>
    <w:rsid w:val="00A969ED"/>
    <w:rsid w:val="00A97E77"/>
    <w:rsid w:val="00AA01C6"/>
    <w:rsid w:val="00AA29A0"/>
    <w:rsid w:val="00AA3737"/>
    <w:rsid w:val="00AA38AF"/>
    <w:rsid w:val="00AA521B"/>
    <w:rsid w:val="00AA74D0"/>
    <w:rsid w:val="00AA78B7"/>
    <w:rsid w:val="00AA78FE"/>
    <w:rsid w:val="00AA7ACA"/>
    <w:rsid w:val="00AB0779"/>
    <w:rsid w:val="00AB20F9"/>
    <w:rsid w:val="00AB2549"/>
    <w:rsid w:val="00AB370E"/>
    <w:rsid w:val="00AB4950"/>
    <w:rsid w:val="00AB5326"/>
    <w:rsid w:val="00AB546C"/>
    <w:rsid w:val="00AB5D11"/>
    <w:rsid w:val="00AB62CD"/>
    <w:rsid w:val="00AB6BCF"/>
    <w:rsid w:val="00AB745F"/>
    <w:rsid w:val="00AB777F"/>
    <w:rsid w:val="00AB7EDB"/>
    <w:rsid w:val="00AC1CD2"/>
    <w:rsid w:val="00AC2C14"/>
    <w:rsid w:val="00AC515D"/>
    <w:rsid w:val="00AC56BB"/>
    <w:rsid w:val="00AC6515"/>
    <w:rsid w:val="00AC76BE"/>
    <w:rsid w:val="00AC79F6"/>
    <w:rsid w:val="00AC7D17"/>
    <w:rsid w:val="00AD048D"/>
    <w:rsid w:val="00AD04A9"/>
    <w:rsid w:val="00AD04B2"/>
    <w:rsid w:val="00AD234A"/>
    <w:rsid w:val="00AD2CDA"/>
    <w:rsid w:val="00AD3A0E"/>
    <w:rsid w:val="00AD3B91"/>
    <w:rsid w:val="00AD4107"/>
    <w:rsid w:val="00AD41FD"/>
    <w:rsid w:val="00AD4C01"/>
    <w:rsid w:val="00AD564E"/>
    <w:rsid w:val="00AD5AAE"/>
    <w:rsid w:val="00AD6873"/>
    <w:rsid w:val="00AD704E"/>
    <w:rsid w:val="00AE080A"/>
    <w:rsid w:val="00AE0E45"/>
    <w:rsid w:val="00AE1BE8"/>
    <w:rsid w:val="00AE1F16"/>
    <w:rsid w:val="00AE230E"/>
    <w:rsid w:val="00AE24B0"/>
    <w:rsid w:val="00AE25F3"/>
    <w:rsid w:val="00AE34D3"/>
    <w:rsid w:val="00AE367A"/>
    <w:rsid w:val="00AE3BCA"/>
    <w:rsid w:val="00AE4288"/>
    <w:rsid w:val="00AE4AD5"/>
    <w:rsid w:val="00AE5317"/>
    <w:rsid w:val="00AE5FE2"/>
    <w:rsid w:val="00AE6101"/>
    <w:rsid w:val="00AE69C3"/>
    <w:rsid w:val="00AE7C51"/>
    <w:rsid w:val="00AE7DFD"/>
    <w:rsid w:val="00AF039C"/>
    <w:rsid w:val="00AF22C1"/>
    <w:rsid w:val="00AF2376"/>
    <w:rsid w:val="00AF361D"/>
    <w:rsid w:val="00AF3FD8"/>
    <w:rsid w:val="00AF5F1D"/>
    <w:rsid w:val="00AF61B5"/>
    <w:rsid w:val="00AF705B"/>
    <w:rsid w:val="00AF7626"/>
    <w:rsid w:val="00B00C8F"/>
    <w:rsid w:val="00B0176F"/>
    <w:rsid w:val="00B01E9F"/>
    <w:rsid w:val="00B03733"/>
    <w:rsid w:val="00B039FE"/>
    <w:rsid w:val="00B03C3D"/>
    <w:rsid w:val="00B03F64"/>
    <w:rsid w:val="00B04CAA"/>
    <w:rsid w:val="00B051C0"/>
    <w:rsid w:val="00B07BB9"/>
    <w:rsid w:val="00B10483"/>
    <w:rsid w:val="00B1061E"/>
    <w:rsid w:val="00B11657"/>
    <w:rsid w:val="00B11951"/>
    <w:rsid w:val="00B11C57"/>
    <w:rsid w:val="00B12B60"/>
    <w:rsid w:val="00B12F4B"/>
    <w:rsid w:val="00B13D04"/>
    <w:rsid w:val="00B13E28"/>
    <w:rsid w:val="00B14CC4"/>
    <w:rsid w:val="00B15DFA"/>
    <w:rsid w:val="00B16296"/>
    <w:rsid w:val="00B17CEA"/>
    <w:rsid w:val="00B2020B"/>
    <w:rsid w:val="00B20239"/>
    <w:rsid w:val="00B2043E"/>
    <w:rsid w:val="00B2105C"/>
    <w:rsid w:val="00B21EA6"/>
    <w:rsid w:val="00B23613"/>
    <w:rsid w:val="00B23B35"/>
    <w:rsid w:val="00B23CBC"/>
    <w:rsid w:val="00B23E3E"/>
    <w:rsid w:val="00B23E7A"/>
    <w:rsid w:val="00B2456C"/>
    <w:rsid w:val="00B24961"/>
    <w:rsid w:val="00B24CC0"/>
    <w:rsid w:val="00B25E80"/>
    <w:rsid w:val="00B276F7"/>
    <w:rsid w:val="00B318DC"/>
    <w:rsid w:val="00B31ED4"/>
    <w:rsid w:val="00B32CF9"/>
    <w:rsid w:val="00B33A45"/>
    <w:rsid w:val="00B33ED2"/>
    <w:rsid w:val="00B34180"/>
    <w:rsid w:val="00B36C84"/>
    <w:rsid w:val="00B37B8A"/>
    <w:rsid w:val="00B410AF"/>
    <w:rsid w:val="00B41874"/>
    <w:rsid w:val="00B418C2"/>
    <w:rsid w:val="00B424FA"/>
    <w:rsid w:val="00B42FFB"/>
    <w:rsid w:val="00B445B5"/>
    <w:rsid w:val="00B46027"/>
    <w:rsid w:val="00B46E52"/>
    <w:rsid w:val="00B47954"/>
    <w:rsid w:val="00B5059B"/>
    <w:rsid w:val="00B507CD"/>
    <w:rsid w:val="00B5115B"/>
    <w:rsid w:val="00B51CA8"/>
    <w:rsid w:val="00B51EFC"/>
    <w:rsid w:val="00B525F1"/>
    <w:rsid w:val="00B5298C"/>
    <w:rsid w:val="00B52E41"/>
    <w:rsid w:val="00B54837"/>
    <w:rsid w:val="00B54AB3"/>
    <w:rsid w:val="00B55A37"/>
    <w:rsid w:val="00B5684D"/>
    <w:rsid w:val="00B6513F"/>
    <w:rsid w:val="00B65534"/>
    <w:rsid w:val="00B65566"/>
    <w:rsid w:val="00B65EB6"/>
    <w:rsid w:val="00B660E0"/>
    <w:rsid w:val="00B66304"/>
    <w:rsid w:val="00B66B95"/>
    <w:rsid w:val="00B673CF"/>
    <w:rsid w:val="00B701FA"/>
    <w:rsid w:val="00B709CE"/>
    <w:rsid w:val="00B71C54"/>
    <w:rsid w:val="00B71C6D"/>
    <w:rsid w:val="00B72103"/>
    <w:rsid w:val="00B7271E"/>
    <w:rsid w:val="00B72A04"/>
    <w:rsid w:val="00B72F17"/>
    <w:rsid w:val="00B74357"/>
    <w:rsid w:val="00B7435C"/>
    <w:rsid w:val="00B743A1"/>
    <w:rsid w:val="00B763B4"/>
    <w:rsid w:val="00B76422"/>
    <w:rsid w:val="00B766D7"/>
    <w:rsid w:val="00B77981"/>
    <w:rsid w:val="00B8185B"/>
    <w:rsid w:val="00B8233E"/>
    <w:rsid w:val="00B823E4"/>
    <w:rsid w:val="00B82F0D"/>
    <w:rsid w:val="00B83DD6"/>
    <w:rsid w:val="00B84F08"/>
    <w:rsid w:val="00B850AC"/>
    <w:rsid w:val="00B852FF"/>
    <w:rsid w:val="00B85BB0"/>
    <w:rsid w:val="00B85FB7"/>
    <w:rsid w:val="00B87CF5"/>
    <w:rsid w:val="00B90238"/>
    <w:rsid w:val="00B91677"/>
    <w:rsid w:val="00B9201A"/>
    <w:rsid w:val="00B92764"/>
    <w:rsid w:val="00B9385E"/>
    <w:rsid w:val="00B93AB3"/>
    <w:rsid w:val="00B93E8C"/>
    <w:rsid w:val="00B943D8"/>
    <w:rsid w:val="00B944FB"/>
    <w:rsid w:val="00B945F5"/>
    <w:rsid w:val="00B948F8"/>
    <w:rsid w:val="00B94EC0"/>
    <w:rsid w:val="00B953F1"/>
    <w:rsid w:val="00B954C0"/>
    <w:rsid w:val="00B9662C"/>
    <w:rsid w:val="00B96C21"/>
    <w:rsid w:val="00B97329"/>
    <w:rsid w:val="00B97541"/>
    <w:rsid w:val="00BA295B"/>
    <w:rsid w:val="00BA2EF1"/>
    <w:rsid w:val="00BA42B1"/>
    <w:rsid w:val="00BA4BF0"/>
    <w:rsid w:val="00BA52AB"/>
    <w:rsid w:val="00BA5F5C"/>
    <w:rsid w:val="00BA68D9"/>
    <w:rsid w:val="00BA7651"/>
    <w:rsid w:val="00BA7A99"/>
    <w:rsid w:val="00BA7B02"/>
    <w:rsid w:val="00BB0093"/>
    <w:rsid w:val="00BB0831"/>
    <w:rsid w:val="00BB083A"/>
    <w:rsid w:val="00BB0D89"/>
    <w:rsid w:val="00BB1253"/>
    <w:rsid w:val="00BB2333"/>
    <w:rsid w:val="00BB2F7B"/>
    <w:rsid w:val="00BB3F69"/>
    <w:rsid w:val="00BB4CB6"/>
    <w:rsid w:val="00BB7D2F"/>
    <w:rsid w:val="00BC0755"/>
    <w:rsid w:val="00BC1656"/>
    <w:rsid w:val="00BC369B"/>
    <w:rsid w:val="00BC4875"/>
    <w:rsid w:val="00BC4A71"/>
    <w:rsid w:val="00BC4ADC"/>
    <w:rsid w:val="00BC5120"/>
    <w:rsid w:val="00BC5994"/>
    <w:rsid w:val="00BD004A"/>
    <w:rsid w:val="00BD04E4"/>
    <w:rsid w:val="00BD1F11"/>
    <w:rsid w:val="00BD2360"/>
    <w:rsid w:val="00BD24E9"/>
    <w:rsid w:val="00BD2A49"/>
    <w:rsid w:val="00BD3843"/>
    <w:rsid w:val="00BD560A"/>
    <w:rsid w:val="00BD63E2"/>
    <w:rsid w:val="00BD69F8"/>
    <w:rsid w:val="00BD6AE5"/>
    <w:rsid w:val="00BE0B9C"/>
    <w:rsid w:val="00BE251E"/>
    <w:rsid w:val="00BE26EF"/>
    <w:rsid w:val="00BE2DFD"/>
    <w:rsid w:val="00BE3367"/>
    <w:rsid w:val="00BE39F9"/>
    <w:rsid w:val="00BE4252"/>
    <w:rsid w:val="00BE46A7"/>
    <w:rsid w:val="00BE47A3"/>
    <w:rsid w:val="00BE48F3"/>
    <w:rsid w:val="00BE4B60"/>
    <w:rsid w:val="00BE5F70"/>
    <w:rsid w:val="00BE760B"/>
    <w:rsid w:val="00BE7780"/>
    <w:rsid w:val="00BF0229"/>
    <w:rsid w:val="00BF0A06"/>
    <w:rsid w:val="00BF14DE"/>
    <w:rsid w:val="00BF1669"/>
    <w:rsid w:val="00BF201B"/>
    <w:rsid w:val="00BF2F40"/>
    <w:rsid w:val="00BF3258"/>
    <w:rsid w:val="00BF34DD"/>
    <w:rsid w:val="00BF5428"/>
    <w:rsid w:val="00BF5F4C"/>
    <w:rsid w:val="00BF6313"/>
    <w:rsid w:val="00BF6682"/>
    <w:rsid w:val="00BF69A0"/>
    <w:rsid w:val="00BF6BA0"/>
    <w:rsid w:val="00C00353"/>
    <w:rsid w:val="00C01562"/>
    <w:rsid w:val="00C01B37"/>
    <w:rsid w:val="00C02A43"/>
    <w:rsid w:val="00C02B0D"/>
    <w:rsid w:val="00C0334A"/>
    <w:rsid w:val="00C039FB"/>
    <w:rsid w:val="00C04852"/>
    <w:rsid w:val="00C06E23"/>
    <w:rsid w:val="00C10030"/>
    <w:rsid w:val="00C10F7C"/>
    <w:rsid w:val="00C11747"/>
    <w:rsid w:val="00C11DF4"/>
    <w:rsid w:val="00C12B5B"/>
    <w:rsid w:val="00C133A1"/>
    <w:rsid w:val="00C1400C"/>
    <w:rsid w:val="00C1438C"/>
    <w:rsid w:val="00C147F0"/>
    <w:rsid w:val="00C14F77"/>
    <w:rsid w:val="00C160A3"/>
    <w:rsid w:val="00C16CAF"/>
    <w:rsid w:val="00C16D5E"/>
    <w:rsid w:val="00C1790C"/>
    <w:rsid w:val="00C2027E"/>
    <w:rsid w:val="00C20B72"/>
    <w:rsid w:val="00C215E2"/>
    <w:rsid w:val="00C217D0"/>
    <w:rsid w:val="00C21A59"/>
    <w:rsid w:val="00C21D20"/>
    <w:rsid w:val="00C24296"/>
    <w:rsid w:val="00C2460A"/>
    <w:rsid w:val="00C2551D"/>
    <w:rsid w:val="00C26326"/>
    <w:rsid w:val="00C2660D"/>
    <w:rsid w:val="00C26D26"/>
    <w:rsid w:val="00C27749"/>
    <w:rsid w:val="00C27E97"/>
    <w:rsid w:val="00C27F02"/>
    <w:rsid w:val="00C30C8A"/>
    <w:rsid w:val="00C315A7"/>
    <w:rsid w:val="00C3183B"/>
    <w:rsid w:val="00C3244B"/>
    <w:rsid w:val="00C3392E"/>
    <w:rsid w:val="00C3405D"/>
    <w:rsid w:val="00C34D83"/>
    <w:rsid w:val="00C34E19"/>
    <w:rsid w:val="00C35970"/>
    <w:rsid w:val="00C35A36"/>
    <w:rsid w:val="00C36D52"/>
    <w:rsid w:val="00C3718C"/>
    <w:rsid w:val="00C37A37"/>
    <w:rsid w:val="00C37F8F"/>
    <w:rsid w:val="00C40BAD"/>
    <w:rsid w:val="00C42A4E"/>
    <w:rsid w:val="00C44166"/>
    <w:rsid w:val="00C44FB5"/>
    <w:rsid w:val="00C45222"/>
    <w:rsid w:val="00C4548C"/>
    <w:rsid w:val="00C45801"/>
    <w:rsid w:val="00C459FD"/>
    <w:rsid w:val="00C46A40"/>
    <w:rsid w:val="00C46FBA"/>
    <w:rsid w:val="00C475FD"/>
    <w:rsid w:val="00C479C7"/>
    <w:rsid w:val="00C47D08"/>
    <w:rsid w:val="00C50DBA"/>
    <w:rsid w:val="00C5212E"/>
    <w:rsid w:val="00C521D8"/>
    <w:rsid w:val="00C538F7"/>
    <w:rsid w:val="00C54D05"/>
    <w:rsid w:val="00C54E8F"/>
    <w:rsid w:val="00C560D3"/>
    <w:rsid w:val="00C56204"/>
    <w:rsid w:val="00C56497"/>
    <w:rsid w:val="00C57065"/>
    <w:rsid w:val="00C574BA"/>
    <w:rsid w:val="00C57C4A"/>
    <w:rsid w:val="00C62C87"/>
    <w:rsid w:val="00C635C0"/>
    <w:rsid w:val="00C64A17"/>
    <w:rsid w:val="00C70D06"/>
    <w:rsid w:val="00C71B1C"/>
    <w:rsid w:val="00C71C5B"/>
    <w:rsid w:val="00C71D66"/>
    <w:rsid w:val="00C72AEF"/>
    <w:rsid w:val="00C731F0"/>
    <w:rsid w:val="00C7336B"/>
    <w:rsid w:val="00C73442"/>
    <w:rsid w:val="00C74F26"/>
    <w:rsid w:val="00C75025"/>
    <w:rsid w:val="00C7503E"/>
    <w:rsid w:val="00C75389"/>
    <w:rsid w:val="00C75D77"/>
    <w:rsid w:val="00C75E36"/>
    <w:rsid w:val="00C76185"/>
    <w:rsid w:val="00C771DE"/>
    <w:rsid w:val="00C814A3"/>
    <w:rsid w:val="00C81634"/>
    <w:rsid w:val="00C81879"/>
    <w:rsid w:val="00C822A0"/>
    <w:rsid w:val="00C8489E"/>
    <w:rsid w:val="00C84D9E"/>
    <w:rsid w:val="00C85437"/>
    <w:rsid w:val="00C856CB"/>
    <w:rsid w:val="00C8595A"/>
    <w:rsid w:val="00C86972"/>
    <w:rsid w:val="00C91466"/>
    <w:rsid w:val="00C9201A"/>
    <w:rsid w:val="00C953AF"/>
    <w:rsid w:val="00C960E0"/>
    <w:rsid w:val="00C962DE"/>
    <w:rsid w:val="00C96E22"/>
    <w:rsid w:val="00C97211"/>
    <w:rsid w:val="00C9726A"/>
    <w:rsid w:val="00C975AC"/>
    <w:rsid w:val="00C976B6"/>
    <w:rsid w:val="00CA0067"/>
    <w:rsid w:val="00CA0594"/>
    <w:rsid w:val="00CA0929"/>
    <w:rsid w:val="00CA0C81"/>
    <w:rsid w:val="00CA1FE3"/>
    <w:rsid w:val="00CA2191"/>
    <w:rsid w:val="00CA21D3"/>
    <w:rsid w:val="00CA2E43"/>
    <w:rsid w:val="00CA31AA"/>
    <w:rsid w:val="00CA39F0"/>
    <w:rsid w:val="00CA4211"/>
    <w:rsid w:val="00CA4C49"/>
    <w:rsid w:val="00CA4CE2"/>
    <w:rsid w:val="00CA5005"/>
    <w:rsid w:val="00CA585D"/>
    <w:rsid w:val="00CA5F4F"/>
    <w:rsid w:val="00CA625A"/>
    <w:rsid w:val="00CA636A"/>
    <w:rsid w:val="00CA74BD"/>
    <w:rsid w:val="00CB0923"/>
    <w:rsid w:val="00CB1443"/>
    <w:rsid w:val="00CB175C"/>
    <w:rsid w:val="00CB1A5D"/>
    <w:rsid w:val="00CB2295"/>
    <w:rsid w:val="00CB2308"/>
    <w:rsid w:val="00CB2A94"/>
    <w:rsid w:val="00CB2BF5"/>
    <w:rsid w:val="00CB4508"/>
    <w:rsid w:val="00CB46AF"/>
    <w:rsid w:val="00CB5C22"/>
    <w:rsid w:val="00CB74A4"/>
    <w:rsid w:val="00CB7562"/>
    <w:rsid w:val="00CC03AB"/>
    <w:rsid w:val="00CC0915"/>
    <w:rsid w:val="00CC0F0F"/>
    <w:rsid w:val="00CC19BB"/>
    <w:rsid w:val="00CC319A"/>
    <w:rsid w:val="00CC35C9"/>
    <w:rsid w:val="00CC36CE"/>
    <w:rsid w:val="00CC383B"/>
    <w:rsid w:val="00CC3C11"/>
    <w:rsid w:val="00CC3CB7"/>
    <w:rsid w:val="00CC4C3C"/>
    <w:rsid w:val="00CC53FD"/>
    <w:rsid w:val="00CC5878"/>
    <w:rsid w:val="00CC7086"/>
    <w:rsid w:val="00CD050C"/>
    <w:rsid w:val="00CD0A4E"/>
    <w:rsid w:val="00CD1870"/>
    <w:rsid w:val="00CD27FE"/>
    <w:rsid w:val="00CD299A"/>
    <w:rsid w:val="00CD29CE"/>
    <w:rsid w:val="00CD2CEA"/>
    <w:rsid w:val="00CD4CD6"/>
    <w:rsid w:val="00CD74D0"/>
    <w:rsid w:val="00CE0613"/>
    <w:rsid w:val="00CE1231"/>
    <w:rsid w:val="00CE18E7"/>
    <w:rsid w:val="00CE18FF"/>
    <w:rsid w:val="00CE1F3A"/>
    <w:rsid w:val="00CE3A29"/>
    <w:rsid w:val="00CE74FD"/>
    <w:rsid w:val="00CE7696"/>
    <w:rsid w:val="00CE792B"/>
    <w:rsid w:val="00CE7CF5"/>
    <w:rsid w:val="00CE7E1D"/>
    <w:rsid w:val="00CF079B"/>
    <w:rsid w:val="00CF1365"/>
    <w:rsid w:val="00CF1D35"/>
    <w:rsid w:val="00CF429E"/>
    <w:rsid w:val="00CF4F5D"/>
    <w:rsid w:val="00CF5928"/>
    <w:rsid w:val="00CF6A55"/>
    <w:rsid w:val="00CF72D8"/>
    <w:rsid w:val="00CF7E2E"/>
    <w:rsid w:val="00D00BB2"/>
    <w:rsid w:val="00D0107F"/>
    <w:rsid w:val="00D016C8"/>
    <w:rsid w:val="00D01C73"/>
    <w:rsid w:val="00D020C1"/>
    <w:rsid w:val="00D0221A"/>
    <w:rsid w:val="00D03886"/>
    <w:rsid w:val="00D03F2C"/>
    <w:rsid w:val="00D04B87"/>
    <w:rsid w:val="00D12554"/>
    <w:rsid w:val="00D12FCB"/>
    <w:rsid w:val="00D1300D"/>
    <w:rsid w:val="00D13B13"/>
    <w:rsid w:val="00D13DD3"/>
    <w:rsid w:val="00D13EB4"/>
    <w:rsid w:val="00D143D7"/>
    <w:rsid w:val="00D14D10"/>
    <w:rsid w:val="00D1566D"/>
    <w:rsid w:val="00D16257"/>
    <w:rsid w:val="00D165EC"/>
    <w:rsid w:val="00D167BB"/>
    <w:rsid w:val="00D16B63"/>
    <w:rsid w:val="00D17A09"/>
    <w:rsid w:val="00D17F00"/>
    <w:rsid w:val="00D20A39"/>
    <w:rsid w:val="00D20DDB"/>
    <w:rsid w:val="00D22B7F"/>
    <w:rsid w:val="00D2488B"/>
    <w:rsid w:val="00D24DD6"/>
    <w:rsid w:val="00D24E56"/>
    <w:rsid w:val="00D25F2B"/>
    <w:rsid w:val="00D26358"/>
    <w:rsid w:val="00D278B5"/>
    <w:rsid w:val="00D31BCF"/>
    <w:rsid w:val="00D3323E"/>
    <w:rsid w:val="00D337AF"/>
    <w:rsid w:val="00D341C4"/>
    <w:rsid w:val="00D345AD"/>
    <w:rsid w:val="00D35201"/>
    <w:rsid w:val="00D361E1"/>
    <w:rsid w:val="00D36363"/>
    <w:rsid w:val="00D372B1"/>
    <w:rsid w:val="00D37582"/>
    <w:rsid w:val="00D37B5C"/>
    <w:rsid w:val="00D37BBD"/>
    <w:rsid w:val="00D40150"/>
    <w:rsid w:val="00D402C1"/>
    <w:rsid w:val="00D40474"/>
    <w:rsid w:val="00D41340"/>
    <w:rsid w:val="00D413F7"/>
    <w:rsid w:val="00D4155B"/>
    <w:rsid w:val="00D436A3"/>
    <w:rsid w:val="00D45063"/>
    <w:rsid w:val="00D45075"/>
    <w:rsid w:val="00D454CA"/>
    <w:rsid w:val="00D46255"/>
    <w:rsid w:val="00D46638"/>
    <w:rsid w:val="00D47031"/>
    <w:rsid w:val="00D475C8"/>
    <w:rsid w:val="00D518DF"/>
    <w:rsid w:val="00D51FFA"/>
    <w:rsid w:val="00D52409"/>
    <w:rsid w:val="00D52C01"/>
    <w:rsid w:val="00D53AFC"/>
    <w:rsid w:val="00D56004"/>
    <w:rsid w:val="00D60070"/>
    <w:rsid w:val="00D6024D"/>
    <w:rsid w:val="00D61327"/>
    <w:rsid w:val="00D61465"/>
    <w:rsid w:val="00D6181B"/>
    <w:rsid w:val="00D63164"/>
    <w:rsid w:val="00D63329"/>
    <w:rsid w:val="00D6352E"/>
    <w:rsid w:val="00D63A1D"/>
    <w:rsid w:val="00D64838"/>
    <w:rsid w:val="00D652F6"/>
    <w:rsid w:val="00D65414"/>
    <w:rsid w:val="00D676F3"/>
    <w:rsid w:val="00D706C7"/>
    <w:rsid w:val="00D70AEC"/>
    <w:rsid w:val="00D71426"/>
    <w:rsid w:val="00D7222E"/>
    <w:rsid w:val="00D72AE4"/>
    <w:rsid w:val="00D742A4"/>
    <w:rsid w:val="00D744E8"/>
    <w:rsid w:val="00D74522"/>
    <w:rsid w:val="00D75405"/>
    <w:rsid w:val="00D766D1"/>
    <w:rsid w:val="00D76D98"/>
    <w:rsid w:val="00D80A14"/>
    <w:rsid w:val="00D80AAF"/>
    <w:rsid w:val="00D81229"/>
    <w:rsid w:val="00D82A42"/>
    <w:rsid w:val="00D83FC8"/>
    <w:rsid w:val="00D84386"/>
    <w:rsid w:val="00D848AB"/>
    <w:rsid w:val="00D865F8"/>
    <w:rsid w:val="00D87712"/>
    <w:rsid w:val="00D91860"/>
    <w:rsid w:val="00D934F8"/>
    <w:rsid w:val="00D946F8"/>
    <w:rsid w:val="00D94FB0"/>
    <w:rsid w:val="00D95887"/>
    <w:rsid w:val="00D9590C"/>
    <w:rsid w:val="00D96D1C"/>
    <w:rsid w:val="00D97225"/>
    <w:rsid w:val="00DA04A0"/>
    <w:rsid w:val="00DA06CC"/>
    <w:rsid w:val="00DA1271"/>
    <w:rsid w:val="00DA243B"/>
    <w:rsid w:val="00DA2597"/>
    <w:rsid w:val="00DA298D"/>
    <w:rsid w:val="00DA48CF"/>
    <w:rsid w:val="00DA60CC"/>
    <w:rsid w:val="00DA6327"/>
    <w:rsid w:val="00DA6BFB"/>
    <w:rsid w:val="00DA6FC7"/>
    <w:rsid w:val="00DA7766"/>
    <w:rsid w:val="00DB0574"/>
    <w:rsid w:val="00DB064A"/>
    <w:rsid w:val="00DB099E"/>
    <w:rsid w:val="00DB254D"/>
    <w:rsid w:val="00DB268C"/>
    <w:rsid w:val="00DB2B48"/>
    <w:rsid w:val="00DB3B68"/>
    <w:rsid w:val="00DB4590"/>
    <w:rsid w:val="00DB4D87"/>
    <w:rsid w:val="00DB4DFD"/>
    <w:rsid w:val="00DB50C7"/>
    <w:rsid w:val="00DB5BCC"/>
    <w:rsid w:val="00DB6A20"/>
    <w:rsid w:val="00DB6B7D"/>
    <w:rsid w:val="00DB7B3D"/>
    <w:rsid w:val="00DC01BC"/>
    <w:rsid w:val="00DC0EB7"/>
    <w:rsid w:val="00DC1027"/>
    <w:rsid w:val="00DC15FF"/>
    <w:rsid w:val="00DC1F18"/>
    <w:rsid w:val="00DC1F8D"/>
    <w:rsid w:val="00DC422E"/>
    <w:rsid w:val="00DC4642"/>
    <w:rsid w:val="00DC4F01"/>
    <w:rsid w:val="00DC600C"/>
    <w:rsid w:val="00DC6642"/>
    <w:rsid w:val="00DC6AED"/>
    <w:rsid w:val="00DC6B41"/>
    <w:rsid w:val="00DC6F69"/>
    <w:rsid w:val="00DC73F9"/>
    <w:rsid w:val="00DD0717"/>
    <w:rsid w:val="00DD13F6"/>
    <w:rsid w:val="00DD19E1"/>
    <w:rsid w:val="00DD1D0C"/>
    <w:rsid w:val="00DD1D99"/>
    <w:rsid w:val="00DD1E33"/>
    <w:rsid w:val="00DD2357"/>
    <w:rsid w:val="00DD3BC4"/>
    <w:rsid w:val="00DD48DF"/>
    <w:rsid w:val="00DD6896"/>
    <w:rsid w:val="00DE04B2"/>
    <w:rsid w:val="00DE33C8"/>
    <w:rsid w:val="00DE43CC"/>
    <w:rsid w:val="00DE477B"/>
    <w:rsid w:val="00DE47C5"/>
    <w:rsid w:val="00DE4D3C"/>
    <w:rsid w:val="00DE4E5F"/>
    <w:rsid w:val="00DE607E"/>
    <w:rsid w:val="00DE63A4"/>
    <w:rsid w:val="00DE71C2"/>
    <w:rsid w:val="00DE7334"/>
    <w:rsid w:val="00DE7EB8"/>
    <w:rsid w:val="00DF020E"/>
    <w:rsid w:val="00DF132C"/>
    <w:rsid w:val="00DF1549"/>
    <w:rsid w:val="00DF4519"/>
    <w:rsid w:val="00DF4A9F"/>
    <w:rsid w:val="00DF5528"/>
    <w:rsid w:val="00DF58D2"/>
    <w:rsid w:val="00DF747E"/>
    <w:rsid w:val="00E003CD"/>
    <w:rsid w:val="00E00C53"/>
    <w:rsid w:val="00E02C65"/>
    <w:rsid w:val="00E03679"/>
    <w:rsid w:val="00E03BED"/>
    <w:rsid w:val="00E03BF0"/>
    <w:rsid w:val="00E0471D"/>
    <w:rsid w:val="00E04BC0"/>
    <w:rsid w:val="00E04DC5"/>
    <w:rsid w:val="00E05578"/>
    <w:rsid w:val="00E06994"/>
    <w:rsid w:val="00E07502"/>
    <w:rsid w:val="00E10544"/>
    <w:rsid w:val="00E115D9"/>
    <w:rsid w:val="00E11ECA"/>
    <w:rsid w:val="00E1337E"/>
    <w:rsid w:val="00E147A2"/>
    <w:rsid w:val="00E15C29"/>
    <w:rsid w:val="00E15DB3"/>
    <w:rsid w:val="00E1641C"/>
    <w:rsid w:val="00E167CF"/>
    <w:rsid w:val="00E171AF"/>
    <w:rsid w:val="00E17B1A"/>
    <w:rsid w:val="00E17D34"/>
    <w:rsid w:val="00E17FF3"/>
    <w:rsid w:val="00E21079"/>
    <w:rsid w:val="00E21C3B"/>
    <w:rsid w:val="00E23E0E"/>
    <w:rsid w:val="00E24071"/>
    <w:rsid w:val="00E244B3"/>
    <w:rsid w:val="00E245DC"/>
    <w:rsid w:val="00E24F0D"/>
    <w:rsid w:val="00E25990"/>
    <w:rsid w:val="00E272C6"/>
    <w:rsid w:val="00E27373"/>
    <w:rsid w:val="00E274FC"/>
    <w:rsid w:val="00E27805"/>
    <w:rsid w:val="00E27A29"/>
    <w:rsid w:val="00E30001"/>
    <w:rsid w:val="00E302A8"/>
    <w:rsid w:val="00E32B17"/>
    <w:rsid w:val="00E330AA"/>
    <w:rsid w:val="00E3323F"/>
    <w:rsid w:val="00E33C11"/>
    <w:rsid w:val="00E35009"/>
    <w:rsid w:val="00E350AA"/>
    <w:rsid w:val="00E36CCF"/>
    <w:rsid w:val="00E4092E"/>
    <w:rsid w:val="00E41F8A"/>
    <w:rsid w:val="00E429B5"/>
    <w:rsid w:val="00E42F19"/>
    <w:rsid w:val="00E45516"/>
    <w:rsid w:val="00E45A95"/>
    <w:rsid w:val="00E46037"/>
    <w:rsid w:val="00E4647C"/>
    <w:rsid w:val="00E4672E"/>
    <w:rsid w:val="00E46981"/>
    <w:rsid w:val="00E46CE2"/>
    <w:rsid w:val="00E470A6"/>
    <w:rsid w:val="00E50403"/>
    <w:rsid w:val="00E50F48"/>
    <w:rsid w:val="00E515A2"/>
    <w:rsid w:val="00E5178D"/>
    <w:rsid w:val="00E51BDE"/>
    <w:rsid w:val="00E51FED"/>
    <w:rsid w:val="00E522A3"/>
    <w:rsid w:val="00E524AA"/>
    <w:rsid w:val="00E53388"/>
    <w:rsid w:val="00E53A87"/>
    <w:rsid w:val="00E5424C"/>
    <w:rsid w:val="00E55A84"/>
    <w:rsid w:val="00E56250"/>
    <w:rsid w:val="00E60649"/>
    <w:rsid w:val="00E60EB8"/>
    <w:rsid w:val="00E61433"/>
    <w:rsid w:val="00E6156F"/>
    <w:rsid w:val="00E61726"/>
    <w:rsid w:val="00E623AE"/>
    <w:rsid w:val="00E62912"/>
    <w:rsid w:val="00E6300F"/>
    <w:rsid w:val="00E63863"/>
    <w:rsid w:val="00E63B4A"/>
    <w:rsid w:val="00E6434F"/>
    <w:rsid w:val="00E64747"/>
    <w:rsid w:val="00E65A90"/>
    <w:rsid w:val="00E6768C"/>
    <w:rsid w:val="00E7163A"/>
    <w:rsid w:val="00E71B3A"/>
    <w:rsid w:val="00E723C8"/>
    <w:rsid w:val="00E75041"/>
    <w:rsid w:val="00E75710"/>
    <w:rsid w:val="00E75A6E"/>
    <w:rsid w:val="00E7717B"/>
    <w:rsid w:val="00E773DF"/>
    <w:rsid w:val="00E77788"/>
    <w:rsid w:val="00E8267A"/>
    <w:rsid w:val="00E8326B"/>
    <w:rsid w:val="00E85DF1"/>
    <w:rsid w:val="00E86124"/>
    <w:rsid w:val="00E866FF"/>
    <w:rsid w:val="00E867BD"/>
    <w:rsid w:val="00E87645"/>
    <w:rsid w:val="00E9011E"/>
    <w:rsid w:val="00E9054A"/>
    <w:rsid w:val="00E91025"/>
    <w:rsid w:val="00E91CF3"/>
    <w:rsid w:val="00E91DE9"/>
    <w:rsid w:val="00E926BE"/>
    <w:rsid w:val="00E93C4B"/>
    <w:rsid w:val="00E9450C"/>
    <w:rsid w:val="00E9591E"/>
    <w:rsid w:val="00E96DDA"/>
    <w:rsid w:val="00E97DD2"/>
    <w:rsid w:val="00EA2581"/>
    <w:rsid w:val="00EA2FB0"/>
    <w:rsid w:val="00EA3455"/>
    <w:rsid w:val="00EA4A24"/>
    <w:rsid w:val="00EA564A"/>
    <w:rsid w:val="00EA688A"/>
    <w:rsid w:val="00EA699B"/>
    <w:rsid w:val="00EB1647"/>
    <w:rsid w:val="00EB1EDE"/>
    <w:rsid w:val="00EB2C3E"/>
    <w:rsid w:val="00EB426C"/>
    <w:rsid w:val="00EB474B"/>
    <w:rsid w:val="00EB5A13"/>
    <w:rsid w:val="00EB5CC1"/>
    <w:rsid w:val="00EB7D46"/>
    <w:rsid w:val="00EC08BE"/>
    <w:rsid w:val="00EC11DC"/>
    <w:rsid w:val="00EC1332"/>
    <w:rsid w:val="00EC2659"/>
    <w:rsid w:val="00EC29CC"/>
    <w:rsid w:val="00EC6C5E"/>
    <w:rsid w:val="00EC740B"/>
    <w:rsid w:val="00ED0178"/>
    <w:rsid w:val="00ED1C6C"/>
    <w:rsid w:val="00ED4C66"/>
    <w:rsid w:val="00ED520F"/>
    <w:rsid w:val="00ED5416"/>
    <w:rsid w:val="00ED638F"/>
    <w:rsid w:val="00ED7379"/>
    <w:rsid w:val="00ED7A04"/>
    <w:rsid w:val="00EE00F3"/>
    <w:rsid w:val="00EE0DE8"/>
    <w:rsid w:val="00EE1077"/>
    <w:rsid w:val="00EE164A"/>
    <w:rsid w:val="00EE2C85"/>
    <w:rsid w:val="00EE4221"/>
    <w:rsid w:val="00EE4EFC"/>
    <w:rsid w:val="00EE5F51"/>
    <w:rsid w:val="00EE7352"/>
    <w:rsid w:val="00EE735F"/>
    <w:rsid w:val="00EE7E92"/>
    <w:rsid w:val="00EF0F70"/>
    <w:rsid w:val="00EF1BED"/>
    <w:rsid w:val="00EF2157"/>
    <w:rsid w:val="00EF2C25"/>
    <w:rsid w:val="00EF340E"/>
    <w:rsid w:val="00EF41D6"/>
    <w:rsid w:val="00EF47FF"/>
    <w:rsid w:val="00EF73AB"/>
    <w:rsid w:val="00EF7456"/>
    <w:rsid w:val="00EF74E2"/>
    <w:rsid w:val="00F01092"/>
    <w:rsid w:val="00F028A0"/>
    <w:rsid w:val="00F02BC8"/>
    <w:rsid w:val="00F04C21"/>
    <w:rsid w:val="00F04D89"/>
    <w:rsid w:val="00F051CE"/>
    <w:rsid w:val="00F054BF"/>
    <w:rsid w:val="00F06C8C"/>
    <w:rsid w:val="00F07269"/>
    <w:rsid w:val="00F07DFF"/>
    <w:rsid w:val="00F1073D"/>
    <w:rsid w:val="00F14ED2"/>
    <w:rsid w:val="00F17DB1"/>
    <w:rsid w:val="00F206AB"/>
    <w:rsid w:val="00F20B79"/>
    <w:rsid w:val="00F20BE0"/>
    <w:rsid w:val="00F230D6"/>
    <w:rsid w:val="00F246FC"/>
    <w:rsid w:val="00F24A50"/>
    <w:rsid w:val="00F26021"/>
    <w:rsid w:val="00F275EE"/>
    <w:rsid w:val="00F27CFB"/>
    <w:rsid w:val="00F30146"/>
    <w:rsid w:val="00F301F8"/>
    <w:rsid w:val="00F313CE"/>
    <w:rsid w:val="00F31CDD"/>
    <w:rsid w:val="00F321F4"/>
    <w:rsid w:val="00F32E77"/>
    <w:rsid w:val="00F347DB"/>
    <w:rsid w:val="00F36197"/>
    <w:rsid w:val="00F36EDB"/>
    <w:rsid w:val="00F3709D"/>
    <w:rsid w:val="00F3763B"/>
    <w:rsid w:val="00F40048"/>
    <w:rsid w:val="00F420E4"/>
    <w:rsid w:val="00F44ED5"/>
    <w:rsid w:val="00F45EB3"/>
    <w:rsid w:val="00F466F4"/>
    <w:rsid w:val="00F46FFA"/>
    <w:rsid w:val="00F4727F"/>
    <w:rsid w:val="00F5004A"/>
    <w:rsid w:val="00F50181"/>
    <w:rsid w:val="00F50242"/>
    <w:rsid w:val="00F5143E"/>
    <w:rsid w:val="00F51C8A"/>
    <w:rsid w:val="00F53584"/>
    <w:rsid w:val="00F537CA"/>
    <w:rsid w:val="00F540CB"/>
    <w:rsid w:val="00F54215"/>
    <w:rsid w:val="00F54770"/>
    <w:rsid w:val="00F55BD7"/>
    <w:rsid w:val="00F55DBE"/>
    <w:rsid w:val="00F56EBC"/>
    <w:rsid w:val="00F573F6"/>
    <w:rsid w:val="00F57996"/>
    <w:rsid w:val="00F57E55"/>
    <w:rsid w:val="00F60C80"/>
    <w:rsid w:val="00F61470"/>
    <w:rsid w:val="00F6147D"/>
    <w:rsid w:val="00F61692"/>
    <w:rsid w:val="00F626FE"/>
    <w:rsid w:val="00F628E5"/>
    <w:rsid w:val="00F629EE"/>
    <w:rsid w:val="00F62D63"/>
    <w:rsid w:val="00F62F2B"/>
    <w:rsid w:val="00F63273"/>
    <w:rsid w:val="00F65642"/>
    <w:rsid w:val="00F6619B"/>
    <w:rsid w:val="00F66401"/>
    <w:rsid w:val="00F665AC"/>
    <w:rsid w:val="00F66636"/>
    <w:rsid w:val="00F742CC"/>
    <w:rsid w:val="00F755FC"/>
    <w:rsid w:val="00F768EB"/>
    <w:rsid w:val="00F77845"/>
    <w:rsid w:val="00F77A8C"/>
    <w:rsid w:val="00F8004A"/>
    <w:rsid w:val="00F80769"/>
    <w:rsid w:val="00F80B33"/>
    <w:rsid w:val="00F80F5B"/>
    <w:rsid w:val="00F8340D"/>
    <w:rsid w:val="00F835BA"/>
    <w:rsid w:val="00F84281"/>
    <w:rsid w:val="00F85B55"/>
    <w:rsid w:val="00F864A5"/>
    <w:rsid w:val="00F86FD0"/>
    <w:rsid w:val="00F8749A"/>
    <w:rsid w:val="00F90F69"/>
    <w:rsid w:val="00F929C9"/>
    <w:rsid w:val="00F92AB0"/>
    <w:rsid w:val="00F92C19"/>
    <w:rsid w:val="00F92FA0"/>
    <w:rsid w:val="00F9490F"/>
    <w:rsid w:val="00F94922"/>
    <w:rsid w:val="00F964B6"/>
    <w:rsid w:val="00F968C9"/>
    <w:rsid w:val="00F97CCD"/>
    <w:rsid w:val="00FA07A4"/>
    <w:rsid w:val="00FA09E1"/>
    <w:rsid w:val="00FA0DEA"/>
    <w:rsid w:val="00FA1208"/>
    <w:rsid w:val="00FA266B"/>
    <w:rsid w:val="00FA2C40"/>
    <w:rsid w:val="00FA2D02"/>
    <w:rsid w:val="00FA33BD"/>
    <w:rsid w:val="00FA57D7"/>
    <w:rsid w:val="00FA594E"/>
    <w:rsid w:val="00FA7679"/>
    <w:rsid w:val="00FA7960"/>
    <w:rsid w:val="00FB026A"/>
    <w:rsid w:val="00FB2A39"/>
    <w:rsid w:val="00FB2E52"/>
    <w:rsid w:val="00FB4D01"/>
    <w:rsid w:val="00FB500C"/>
    <w:rsid w:val="00FB56F3"/>
    <w:rsid w:val="00FB574A"/>
    <w:rsid w:val="00FB582B"/>
    <w:rsid w:val="00FB66FD"/>
    <w:rsid w:val="00FB684A"/>
    <w:rsid w:val="00FB7530"/>
    <w:rsid w:val="00FC09F4"/>
    <w:rsid w:val="00FC1059"/>
    <w:rsid w:val="00FC3DA6"/>
    <w:rsid w:val="00FC4AB2"/>
    <w:rsid w:val="00FC4F45"/>
    <w:rsid w:val="00FC55BF"/>
    <w:rsid w:val="00FC6239"/>
    <w:rsid w:val="00FC69EC"/>
    <w:rsid w:val="00FC71FB"/>
    <w:rsid w:val="00FC79EB"/>
    <w:rsid w:val="00FC7EFC"/>
    <w:rsid w:val="00FD05AF"/>
    <w:rsid w:val="00FD11CE"/>
    <w:rsid w:val="00FD18E1"/>
    <w:rsid w:val="00FD2280"/>
    <w:rsid w:val="00FD22E8"/>
    <w:rsid w:val="00FD24F5"/>
    <w:rsid w:val="00FD3F46"/>
    <w:rsid w:val="00FD452F"/>
    <w:rsid w:val="00FD6012"/>
    <w:rsid w:val="00FD69DC"/>
    <w:rsid w:val="00FD737C"/>
    <w:rsid w:val="00FD7938"/>
    <w:rsid w:val="00FE1CCE"/>
    <w:rsid w:val="00FE3738"/>
    <w:rsid w:val="00FE5271"/>
    <w:rsid w:val="00FE54C5"/>
    <w:rsid w:val="00FE58BC"/>
    <w:rsid w:val="00FE6191"/>
    <w:rsid w:val="00FE6821"/>
    <w:rsid w:val="00FE7085"/>
    <w:rsid w:val="00FE71D3"/>
    <w:rsid w:val="00FE7EB1"/>
    <w:rsid w:val="00FF18E0"/>
    <w:rsid w:val="00FF24AF"/>
    <w:rsid w:val="00FF3B74"/>
    <w:rsid w:val="00FF48A1"/>
    <w:rsid w:val="00FF4B50"/>
    <w:rsid w:val="00FF5669"/>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 w:type="character" w:customStyle="1" w:styleId="FootnoteTextChar">
    <w:name w:val="Footnote Text Char"/>
    <w:basedOn w:val="DefaultParagraphFont"/>
    <w:link w:val="FootnoteText"/>
    <w:uiPriority w:val="99"/>
    <w:semiHidden/>
    <w:rsid w:val="00CA636A"/>
  </w:style>
  <w:style w:type="character" w:styleId="PlaceholderText">
    <w:name w:val="Placeholder Text"/>
    <w:basedOn w:val="DefaultParagraphFont"/>
    <w:uiPriority w:val="99"/>
    <w:semiHidden/>
    <w:rsid w:val="00F04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19</cp:revision>
  <cp:lastPrinted>2015-03-13T15:09:00Z</cp:lastPrinted>
  <dcterms:created xsi:type="dcterms:W3CDTF">2022-03-01T18:41:00Z</dcterms:created>
  <dcterms:modified xsi:type="dcterms:W3CDTF">2022-03-07T16:01:00Z</dcterms:modified>
</cp:coreProperties>
</file>