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FEFE9" w14:textId="77777777" w:rsidR="00D74050" w:rsidRPr="00A46A5D" w:rsidRDefault="00D74050" w:rsidP="00D74050">
      <w:pPr>
        <w:pStyle w:val="Heading2"/>
        <w:rPr>
          <w:b w:val="0"/>
          <w:sz w:val="24"/>
          <w:u w:val="none"/>
        </w:rPr>
      </w:pPr>
    </w:p>
    <w:p w14:paraId="6EE39EE6" w14:textId="77777777" w:rsidR="00D74050" w:rsidRPr="00F71F8C" w:rsidRDefault="00D74050" w:rsidP="00D74050">
      <w:pPr>
        <w:pStyle w:val="Heading2"/>
        <w:rPr>
          <w:rFonts w:ascii="Arial" w:hAnsi="Arial" w:cs="Arial"/>
          <w:sz w:val="24"/>
        </w:rPr>
      </w:pPr>
      <w:r w:rsidRPr="00F71F8C">
        <w:rPr>
          <w:rFonts w:ascii="Arial" w:hAnsi="Arial" w:cs="Arial"/>
          <w:sz w:val="24"/>
        </w:rPr>
        <w:t>STAFF REPORT</w:t>
      </w:r>
    </w:p>
    <w:p w14:paraId="2D53D4EB" w14:textId="77777777" w:rsidR="00D74050" w:rsidRPr="00636C53" w:rsidRDefault="00D74050" w:rsidP="00636C53">
      <w:pPr>
        <w:spacing w:after="0"/>
        <w:contextualSpacing/>
        <w:jc w:val="center"/>
        <w:rPr>
          <w:rFonts w:ascii="Arial" w:hAnsi="Arial" w:cs="Arial"/>
          <w:sz w:val="24"/>
          <w:szCs w:val="24"/>
        </w:rPr>
      </w:pPr>
    </w:p>
    <w:tbl>
      <w:tblPr>
        <w:tblW w:w="9360" w:type="dxa"/>
        <w:tblInd w:w="-5" w:type="dxa"/>
        <w:tblBorders>
          <w:insideH w:val="single" w:sz="12" w:space="0" w:color="auto"/>
        </w:tblBorders>
        <w:tblLayout w:type="fixed"/>
        <w:tblLook w:val="0000" w:firstRow="0" w:lastRow="0" w:firstColumn="0" w:lastColumn="0" w:noHBand="0" w:noVBand="0"/>
      </w:tblPr>
      <w:tblGrid>
        <w:gridCol w:w="2093"/>
        <w:gridCol w:w="2430"/>
        <w:gridCol w:w="1170"/>
        <w:gridCol w:w="3667"/>
      </w:tblGrid>
      <w:tr w:rsidR="00D74050" w:rsidRPr="00636C53" w14:paraId="0E34BA05" w14:textId="77777777" w:rsidTr="00636C53">
        <w:trPr>
          <w:trHeight w:val="400"/>
        </w:trPr>
        <w:tc>
          <w:tcPr>
            <w:tcW w:w="2093" w:type="dxa"/>
            <w:tcBorders>
              <w:top w:val="single" w:sz="4" w:space="0" w:color="auto"/>
              <w:left w:val="single" w:sz="4" w:space="0" w:color="auto"/>
              <w:bottom w:val="single" w:sz="4" w:space="0" w:color="auto"/>
              <w:right w:val="single" w:sz="4" w:space="0" w:color="auto"/>
            </w:tcBorders>
            <w:vAlign w:val="center"/>
          </w:tcPr>
          <w:p w14:paraId="041BFC7D" w14:textId="77777777" w:rsidR="00D74050" w:rsidRPr="00636C53" w:rsidRDefault="00D74050" w:rsidP="00636C53">
            <w:pPr>
              <w:spacing w:after="0"/>
              <w:contextualSpacing/>
              <w:rPr>
                <w:rFonts w:ascii="Arial" w:hAnsi="Arial" w:cs="Arial"/>
                <w:b/>
                <w:sz w:val="24"/>
                <w:szCs w:val="24"/>
              </w:rPr>
            </w:pPr>
            <w:r w:rsidRPr="00636C53">
              <w:rPr>
                <w:rFonts w:ascii="Arial" w:hAnsi="Arial" w:cs="Arial"/>
                <w:b/>
                <w:sz w:val="24"/>
                <w:szCs w:val="24"/>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0B1F4F8" w14:textId="275A8A85" w:rsidR="00D74050" w:rsidRPr="00636C53" w:rsidRDefault="00636C53" w:rsidP="00636C53">
            <w:pPr>
              <w:spacing w:after="0"/>
              <w:contextualSpacing/>
              <w:rPr>
                <w:rFonts w:ascii="Arial" w:hAnsi="Arial" w:cs="Arial"/>
                <w:sz w:val="24"/>
                <w:szCs w:val="24"/>
              </w:rPr>
            </w:pPr>
            <w:r>
              <w:rPr>
                <w:rFonts w:ascii="Arial" w:hAnsi="Arial" w:cs="Arial"/>
                <w:sz w:val="24"/>
                <w:szCs w:val="24"/>
              </w:rPr>
              <w:t>12</w:t>
            </w:r>
          </w:p>
        </w:tc>
        <w:tc>
          <w:tcPr>
            <w:tcW w:w="1170" w:type="dxa"/>
            <w:tcBorders>
              <w:top w:val="single" w:sz="4" w:space="0" w:color="auto"/>
              <w:left w:val="single" w:sz="4" w:space="0" w:color="auto"/>
              <w:bottom w:val="single" w:sz="4" w:space="0" w:color="auto"/>
              <w:right w:val="single" w:sz="4" w:space="0" w:color="auto"/>
            </w:tcBorders>
            <w:vAlign w:val="center"/>
          </w:tcPr>
          <w:p w14:paraId="060F925B" w14:textId="77777777" w:rsidR="00D74050" w:rsidRPr="00636C53" w:rsidRDefault="00D74050" w:rsidP="00636C53">
            <w:pPr>
              <w:spacing w:after="0"/>
              <w:contextualSpacing/>
              <w:rPr>
                <w:rFonts w:ascii="Arial" w:hAnsi="Arial" w:cs="Arial"/>
                <w:b/>
                <w:sz w:val="24"/>
                <w:szCs w:val="24"/>
              </w:rPr>
            </w:pPr>
            <w:r w:rsidRPr="00636C53">
              <w:rPr>
                <w:rFonts w:ascii="Arial" w:hAnsi="Arial" w:cs="Arial"/>
                <w:b/>
                <w:sz w:val="24"/>
                <w:szCs w:val="24"/>
              </w:rPr>
              <w:t>Name:</w:t>
            </w:r>
          </w:p>
        </w:tc>
        <w:tc>
          <w:tcPr>
            <w:tcW w:w="3667" w:type="dxa"/>
            <w:tcBorders>
              <w:top w:val="single" w:sz="4" w:space="0" w:color="auto"/>
              <w:left w:val="single" w:sz="4" w:space="0" w:color="auto"/>
              <w:bottom w:val="single" w:sz="4" w:space="0" w:color="auto"/>
              <w:right w:val="single" w:sz="4" w:space="0" w:color="auto"/>
            </w:tcBorders>
            <w:vAlign w:val="center"/>
          </w:tcPr>
          <w:p w14:paraId="1E6E72BF" w14:textId="1D2A7CC7" w:rsidR="00D74050" w:rsidRPr="00636C53" w:rsidRDefault="00330019" w:rsidP="00636C53">
            <w:pPr>
              <w:spacing w:after="0"/>
              <w:contextualSpacing/>
              <w:rPr>
                <w:rFonts w:ascii="Arial" w:hAnsi="Arial" w:cs="Arial"/>
                <w:sz w:val="24"/>
                <w:szCs w:val="24"/>
              </w:rPr>
            </w:pPr>
            <w:r w:rsidRPr="00636C53">
              <w:rPr>
                <w:rFonts w:ascii="Arial" w:hAnsi="Arial" w:cs="Arial"/>
                <w:sz w:val="24"/>
                <w:szCs w:val="24"/>
              </w:rPr>
              <w:t>Mike Reed</w:t>
            </w:r>
          </w:p>
        </w:tc>
      </w:tr>
      <w:tr w:rsidR="00D74050" w:rsidRPr="00636C53" w14:paraId="7AE92B27" w14:textId="77777777" w:rsidTr="00636C53">
        <w:trPr>
          <w:trHeight w:val="400"/>
        </w:trPr>
        <w:tc>
          <w:tcPr>
            <w:tcW w:w="2093" w:type="dxa"/>
            <w:tcBorders>
              <w:top w:val="single" w:sz="4" w:space="0" w:color="auto"/>
              <w:left w:val="single" w:sz="4" w:space="0" w:color="auto"/>
              <w:bottom w:val="single" w:sz="4" w:space="0" w:color="auto"/>
              <w:right w:val="single" w:sz="4" w:space="0" w:color="auto"/>
            </w:tcBorders>
            <w:vAlign w:val="center"/>
          </w:tcPr>
          <w:p w14:paraId="17D100E0" w14:textId="77777777" w:rsidR="00D74050" w:rsidRPr="00636C53" w:rsidRDefault="00D74050" w:rsidP="00636C53">
            <w:pPr>
              <w:spacing w:after="0"/>
              <w:contextualSpacing/>
              <w:rPr>
                <w:rFonts w:ascii="Arial" w:hAnsi="Arial" w:cs="Arial"/>
                <w:sz w:val="24"/>
                <w:szCs w:val="24"/>
              </w:rPr>
            </w:pPr>
            <w:r w:rsidRPr="00636C53">
              <w:rPr>
                <w:rFonts w:ascii="Arial" w:hAnsi="Arial" w:cs="Arial"/>
                <w:b/>
                <w:sz w:val="24"/>
                <w:szCs w:val="24"/>
              </w:rPr>
              <w:t>Proposed No</w:t>
            </w:r>
            <w:r w:rsidRPr="00636C53">
              <w:rPr>
                <w:rFonts w:ascii="Arial" w:hAnsi="Arial" w:cs="Arial"/>
                <w:sz w:val="24"/>
                <w:szCs w:val="24"/>
              </w:rPr>
              <w:t>.:</w:t>
            </w:r>
          </w:p>
        </w:tc>
        <w:tc>
          <w:tcPr>
            <w:tcW w:w="2430" w:type="dxa"/>
            <w:tcBorders>
              <w:top w:val="single" w:sz="4" w:space="0" w:color="auto"/>
              <w:left w:val="single" w:sz="4" w:space="0" w:color="auto"/>
              <w:bottom w:val="single" w:sz="4" w:space="0" w:color="auto"/>
              <w:right w:val="single" w:sz="4" w:space="0" w:color="auto"/>
            </w:tcBorders>
            <w:vAlign w:val="center"/>
          </w:tcPr>
          <w:p w14:paraId="481B478C" w14:textId="5923DDC7" w:rsidR="00D74050" w:rsidRPr="00636C53" w:rsidRDefault="00330019" w:rsidP="00636C53">
            <w:pPr>
              <w:spacing w:after="0"/>
              <w:contextualSpacing/>
              <w:rPr>
                <w:rFonts w:ascii="Arial" w:hAnsi="Arial" w:cs="Arial"/>
                <w:sz w:val="24"/>
                <w:szCs w:val="24"/>
              </w:rPr>
            </w:pPr>
            <w:r w:rsidRPr="00636C53">
              <w:rPr>
                <w:rFonts w:ascii="Arial" w:hAnsi="Arial" w:cs="Arial"/>
                <w:sz w:val="24"/>
                <w:szCs w:val="24"/>
              </w:rPr>
              <w:t>2021-0389</w:t>
            </w:r>
          </w:p>
        </w:tc>
        <w:tc>
          <w:tcPr>
            <w:tcW w:w="1170" w:type="dxa"/>
            <w:tcBorders>
              <w:top w:val="single" w:sz="4" w:space="0" w:color="auto"/>
              <w:left w:val="single" w:sz="4" w:space="0" w:color="auto"/>
              <w:bottom w:val="single" w:sz="4" w:space="0" w:color="auto"/>
              <w:right w:val="single" w:sz="4" w:space="0" w:color="auto"/>
            </w:tcBorders>
            <w:vAlign w:val="center"/>
          </w:tcPr>
          <w:p w14:paraId="5994AC36" w14:textId="77777777" w:rsidR="00D74050" w:rsidRPr="00636C53" w:rsidRDefault="00D74050" w:rsidP="00636C53">
            <w:pPr>
              <w:spacing w:after="0"/>
              <w:ind w:right="-108"/>
              <w:contextualSpacing/>
              <w:rPr>
                <w:rFonts w:ascii="Arial" w:hAnsi="Arial" w:cs="Arial"/>
                <w:sz w:val="24"/>
                <w:szCs w:val="24"/>
              </w:rPr>
            </w:pPr>
            <w:r w:rsidRPr="00636C53">
              <w:rPr>
                <w:rFonts w:ascii="Arial" w:hAnsi="Arial" w:cs="Arial"/>
                <w:b/>
                <w:sz w:val="24"/>
                <w:szCs w:val="24"/>
              </w:rPr>
              <w:t>Date:</w:t>
            </w:r>
          </w:p>
        </w:tc>
        <w:tc>
          <w:tcPr>
            <w:tcW w:w="3667" w:type="dxa"/>
            <w:tcBorders>
              <w:top w:val="single" w:sz="4" w:space="0" w:color="auto"/>
              <w:left w:val="single" w:sz="4" w:space="0" w:color="auto"/>
              <w:bottom w:val="single" w:sz="4" w:space="0" w:color="auto"/>
              <w:right w:val="single" w:sz="4" w:space="0" w:color="auto"/>
            </w:tcBorders>
            <w:vAlign w:val="center"/>
          </w:tcPr>
          <w:p w14:paraId="379F721A" w14:textId="114E7C4B" w:rsidR="00D74050" w:rsidRPr="00636C53" w:rsidRDefault="00330019" w:rsidP="00636C53">
            <w:pPr>
              <w:spacing w:after="0"/>
              <w:contextualSpacing/>
              <w:rPr>
                <w:rFonts w:ascii="Arial" w:hAnsi="Arial" w:cs="Arial"/>
                <w:sz w:val="24"/>
                <w:szCs w:val="24"/>
              </w:rPr>
            </w:pPr>
            <w:r w:rsidRPr="00636C53">
              <w:rPr>
                <w:rFonts w:ascii="Arial" w:hAnsi="Arial" w:cs="Arial"/>
                <w:sz w:val="24"/>
                <w:szCs w:val="24"/>
              </w:rPr>
              <w:t>December 8, 2021</w:t>
            </w:r>
          </w:p>
        </w:tc>
      </w:tr>
    </w:tbl>
    <w:p w14:paraId="66522BC6" w14:textId="77777777" w:rsidR="0057132B" w:rsidRPr="00636C53" w:rsidRDefault="0057132B" w:rsidP="00F93D5D">
      <w:pPr>
        <w:keepNext/>
        <w:spacing w:after="0"/>
        <w:jc w:val="both"/>
        <w:rPr>
          <w:rFonts w:ascii="Arial" w:hAnsi="Arial" w:cs="Arial"/>
          <w:b/>
          <w:sz w:val="24"/>
          <w:szCs w:val="24"/>
          <w:u w:val="single"/>
        </w:rPr>
      </w:pPr>
    </w:p>
    <w:p w14:paraId="3B691AFC" w14:textId="322AF625" w:rsidR="00F93D5D" w:rsidRPr="00636C53" w:rsidRDefault="00D74050" w:rsidP="00F93D5D">
      <w:pPr>
        <w:keepNext/>
        <w:spacing w:line="264" w:lineRule="auto"/>
        <w:jc w:val="both"/>
        <w:rPr>
          <w:rFonts w:ascii="Arial" w:hAnsi="Arial" w:cs="Arial"/>
          <w:b/>
          <w:sz w:val="24"/>
          <w:szCs w:val="24"/>
          <w:u w:val="single"/>
        </w:rPr>
      </w:pPr>
      <w:r w:rsidRPr="00636C53">
        <w:rPr>
          <w:rFonts w:ascii="Arial" w:hAnsi="Arial" w:cs="Arial"/>
          <w:b/>
          <w:sz w:val="24"/>
          <w:szCs w:val="24"/>
          <w:u w:val="single"/>
        </w:rPr>
        <w:t>SUBJECT</w:t>
      </w:r>
    </w:p>
    <w:p w14:paraId="68A5EB67" w14:textId="4044CFF8" w:rsidR="00F93D5D" w:rsidRPr="00636C53" w:rsidRDefault="004540DD" w:rsidP="00F93D5D">
      <w:pPr>
        <w:keepNext/>
        <w:spacing w:line="264" w:lineRule="auto"/>
        <w:jc w:val="both"/>
        <w:rPr>
          <w:rFonts w:ascii="Arial" w:hAnsi="Arial" w:cs="Arial"/>
          <w:bCs/>
          <w:sz w:val="24"/>
          <w:szCs w:val="24"/>
        </w:rPr>
      </w:pPr>
      <w:r w:rsidRPr="00636C53">
        <w:rPr>
          <w:rFonts w:ascii="Arial" w:hAnsi="Arial" w:cs="Arial"/>
          <w:bCs/>
          <w:sz w:val="24"/>
          <w:szCs w:val="24"/>
        </w:rPr>
        <w:t>Authorization for the sale of $905,</w:t>
      </w:r>
      <w:r w:rsidR="00717462" w:rsidRPr="00636C53">
        <w:rPr>
          <w:rFonts w:ascii="Arial" w:hAnsi="Arial" w:cs="Arial"/>
          <w:bCs/>
          <w:sz w:val="24"/>
          <w:szCs w:val="24"/>
        </w:rPr>
        <w:t xml:space="preserve">000,000 in bonds in support of capital construction and debt refunding </w:t>
      </w:r>
      <w:r w:rsidR="00081D06" w:rsidRPr="00636C53">
        <w:rPr>
          <w:rFonts w:ascii="Arial" w:hAnsi="Arial" w:cs="Arial"/>
          <w:bCs/>
          <w:sz w:val="24"/>
          <w:szCs w:val="24"/>
        </w:rPr>
        <w:t xml:space="preserve">for the wastewater capital program; </w:t>
      </w:r>
      <w:r w:rsidR="00DA2AE6">
        <w:rPr>
          <w:rFonts w:ascii="Arial" w:hAnsi="Arial" w:cs="Arial"/>
          <w:bCs/>
          <w:sz w:val="24"/>
          <w:szCs w:val="24"/>
        </w:rPr>
        <w:t xml:space="preserve">and </w:t>
      </w:r>
      <w:r w:rsidR="00081D06" w:rsidRPr="00636C53">
        <w:rPr>
          <w:rFonts w:ascii="Arial" w:hAnsi="Arial" w:cs="Arial"/>
          <w:bCs/>
          <w:sz w:val="24"/>
          <w:szCs w:val="24"/>
        </w:rPr>
        <w:t xml:space="preserve">increased authority for the Finance Director in the </w:t>
      </w:r>
      <w:r w:rsidR="003432FF" w:rsidRPr="00636C53">
        <w:rPr>
          <w:rFonts w:ascii="Arial" w:hAnsi="Arial" w:cs="Arial"/>
          <w:bCs/>
          <w:sz w:val="24"/>
          <w:szCs w:val="24"/>
        </w:rPr>
        <w:t>sale of bo</w:t>
      </w:r>
      <w:r w:rsidR="00592959" w:rsidRPr="00636C53">
        <w:rPr>
          <w:rFonts w:ascii="Arial" w:hAnsi="Arial" w:cs="Arial"/>
          <w:bCs/>
          <w:sz w:val="24"/>
          <w:szCs w:val="24"/>
        </w:rPr>
        <w:t>nds for wastewater purposes.</w:t>
      </w:r>
    </w:p>
    <w:p w14:paraId="52F4D3F8" w14:textId="68390CF5" w:rsidR="00F93D5D" w:rsidRPr="00636C53" w:rsidRDefault="00D74050" w:rsidP="00F93D5D">
      <w:pPr>
        <w:keepNext/>
        <w:spacing w:line="264" w:lineRule="auto"/>
        <w:jc w:val="both"/>
        <w:rPr>
          <w:rFonts w:ascii="Arial" w:hAnsi="Arial" w:cs="Arial"/>
          <w:b/>
          <w:smallCaps/>
          <w:sz w:val="24"/>
          <w:szCs w:val="24"/>
          <w:u w:val="single"/>
        </w:rPr>
      </w:pPr>
      <w:r w:rsidRPr="00636C53">
        <w:rPr>
          <w:rFonts w:ascii="Arial" w:hAnsi="Arial" w:cs="Arial"/>
          <w:b/>
          <w:smallCaps/>
          <w:sz w:val="24"/>
          <w:szCs w:val="24"/>
          <w:u w:val="single"/>
        </w:rPr>
        <w:t>SUMMARY</w:t>
      </w:r>
    </w:p>
    <w:p w14:paraId="7F5FBC93" w14:textId="2AEB391B" w:rsidR="00F93D5D" w:rsidRPr="00F93D5D" w:rsidRDefault="008C397D" w:rsidP="00F93D5D">
      <w:pPr>
        <w:keepNext/>
        <w:spacing w:line="264" w:lineRule="auto"/>
        <w:jc w:val="both"/>
        <w:rPr>
          <w:rFonts w:ascii="Arial" w:hAnsi="Arial" w:cs="Arial"/>
          <w:bCs/>
          <w:sz w:val="24"/>
          <w:szCs w:val="24"/>
        </w:rPr>
      </w:pPr>
      <w:r w:rsidRPr="00636C53">
        <w:rPr>
          <w:rFonts w:ascii="Arial" w:hAnsi="Arial" w:cs="Arial"/>
          <w:bCs/>
          <w:sz w:val="24"/>
          <w:szCs w:val="24"/>
        </w:rPr>
        <w:t xml:space="preserve">The </w:t>
      </w:r>
      <w:r w:rsidR="004111AF" w:rsidRPr="00636C53">
        <w:rPr>
          <w:rFonts w:ascii="Arial" w:hAnsi="Arial" w:cs="Arial"/>
          <w:bCs/>
          <w:sz w:val="24"/>
          <w:szCs w:val="24"/>
        </w:rPr>
        <w:t xml:space="preserve">Wastewater Treatment Division’s capital program is funded primarily through the </w:t>
      </w:r>
      <w:r w:rsidR="0067234D" w:rsidRPr="00636C53">
        <w:rPr>
          <w:rFonts w:ascii="Arial" w:hAnsi="Arial" w:cs="Arial"/>
          <w:bCs/>
          <w:sz w:val="24"/>
          <w:szCs w:val="24"/>
        </w:rPr>
        <w:t xml:space="preserve">issuance of bonded indebtedness, including sewer revenue bonds and </w:t>
      </w:r>
      <w:r w:rsidR="00CF7AA9">
        <w:rPr>
          <w:rFonts w:ascii="Arial" w:hAnsi="Arial" w:cs="Arial"/>
          <w:bCs/>
          <w:sz w:val="24"/>
          <w:szCs w:val="24"/>
        </w:rPr>
        <w:t xml:space="preserve">general obligation </w:t>
      </w:r>
      <w:r w:rsidR="00A419D7" w:rsidRPr="00636C53">
        <w:rPr>
          <w:rFonts w:ascii="Arial" w:hAnsi="Arial" w:cs="Arial"/>
          <w:bCs/>
          <w:sz w:val="24"/>
          <w:szCs w:val="24"/>
        </w:rPr>
        <w:t xml:space="preserve">bonds backed by </w:t>
      </w:r>
      <w:r w:rsidR="00D970B5" w:rsidRPr="00636C53">
        <w:rPr>
          <w:rFonts w:ascii="Arial" w:hAnsi="Arial" w:cs="Arial"/>
          <w:bCs/>
          <w:sz w:val="24"/>
          <w:szCs w:val="24"/>
        </w:rPr>
        <w:t>the county’s General Fund.</w:t>
      </w:r>
      <w:r w:rsidR="00FB60E6" w:rsidRPr="00636C53">
        <w:rPr>
          <w:rFonts w:ascii="Arial" w:hAnsi="Arial" w:cs="Arial"/>
          <w:bCs/>
          <w:sz w:val="24"/>
          <w:szCs w:val="24"/>
        </w:rPr>
        <w:t xml:space="preserve">  </w:t>
      </w:r>
      <w:r w:rsidR="00EF3514" w:rsidRPr="00636C53">
        <w:rPr>
          <w:rFonts w:ascii="Arial" w:hAnsi="Arial" w:cs="Arial"/>
          <w:bCs/>
          <w:sz w:val="24"/>
          <w:szCs w:val="24"/>
        </w:rPr>
        <w:t xml:space="preserve">New issuances of </w:t>
      </w:r>
      <w:r w:rsidR="00CA5198" w:rsidRPr="00636C53">
        <w:rPr>
          <w:rFonts w:ascii="Arial" w:hAnsi="Arial" w:cs="Arial"/>
          <w:bCs/>
          <w:sz w:val="24"/>
          <w:szCs w:val="24"/>
        </w:rPr>
        <w:t>bonds</w:t>
      </w:r>
      <w:r w:rsidR="0001000C" w:rsidRPr="00636C53">
        <w:rPr>
          <w:rFonts w:ascii="Arial" w:hAnsi="Arial" w:cs="Arial"/>
          <w:bCs/>
          <w:sz w:val="24"/>
          <w:szCs w:val="24"/>
        </w:rPr>
        <w:t xml:space="preserve"> </w:t>
      </w:r>
      <w:r w:rsidR="00D970B5" w:rsidRPr="00636C53">
        <w:rPr>
          <w:rFonts w:ascii="Arial" w:hAnsi="Arial" w:cs="Arial"/>
          <w:bCs/>
          <w:sz w:val="24"/>
          <w:szCs w:val="24"/>
        </w:rPr>
        <w:t>are</w:t>
      </w:r>
      <w:r w:rsidR="0001000C" w:rsidRPr="00636C53">
        <w:rPr>
          <w:rFonts w:ascii="Arial" w:hAnsi="Arial" w:cs="Arial"/>
          <w:bCs/>
          <w:sz w:val="24"/>
          <w:szCs w:val="24"/>
        </w:rPr>
        <w:t xml:space="preserve"> </w:t>
      </w:r>
      <w:r w:rsidR="00EF3514" w:rsidRPr="00636C53">
        <w:rPr>
          <w:rFonts w:ascii="Arial" w:hAnsi="Arial" w:cs="Arial"/>
          <w:bCs/>
          <w:sz w:val="24"/>
          <w:szCs w:val="24"/>
        </w:rPr>
        <w:t>authorized by ordinance approved by</w:t>
      </w:r>
      <w:r w:rsidR="00CA5198" w:rsidRPr="00636C53">
        <w:rPr>
          <w:rFonts w:ascii="Arial" w:hAnsi="Arial" w:cs="Arial"/>
          <w:bCs/>
          <w:sz w:val="24"/>
          <w:szCs w:val="24"/>
        </w:rPr>
        <w:t xml:space="preserve"> Council</w:t>
      </w:r>
      <w:r w:rsidR="00CF7AA9">
        <w:rPr>
          <w:rFonts w:ascii="Arial" w:hAnsi="Arial" w:cs="Arial"/>
          <w:bCs/>
          <w:sz w:val="24"/>
          <w:szCs w:val="24"/>
        </w:rPr>
        <w:t xml:space="preserve"> and</w:t>
      </w:r>
      <w:r w:rsidR="00CA5198" w:rsidRPr="00636C53">
        <w:rPr>
          <w:rFonts w:ascii="Arial" w:hAnsi="Arial" w:cs="Arial"/>
          <w:bCs/>
          <w:sz w:val="24"/>
          <w:szCs w:val="24"/>
        </w:rPr>
        <w:t xml:space="preserve"> historically, approval of specific </w:t>
      </w:r>
      <w:r w:rsidR="00341744" w:rsidRPr="00636C53">
        <w:rPr>
          <w:rFonts w:ascii="Arial" w:hAnsi="Arial" w:cs="Arial"/>
          <w:bCs/>
          <w:sz w:val="24"/>
          <w:szCs w:val="24"/>
        </w:rPr>
        <w:t xml:space="preserve">sales has been subject to a sale motion approved by Council.  Proposed Ordinance 2021-0389 would authorize the sale </w:t>
      </w:r>
      <w:r w:rsidR="00DA2AE6">
        <w:rPr>
          <w:rFonts w:ascii="Arial" w:hAnsi="Arial" w:cs="Arial"/>
          <w:bCs/>
          <w:sz w:val="24"/>
          <w:szCs w:val="24"/>
        </w:rPr>
        <w:t xml:space="preserve">of </w:t>
      </w:r>
      <w:r w:rsidR="0000401F" w:rsidRPr="00636C53">
        <w:rPr>
          <w:rFonts w:ascii="Arial" w:hAnsi="Arial" w:cs="Arial"/>
          <w:sz w:val="24"/>
          <w:szCs w:val="24"/>
        </w:rPr>
        <w:t xml:space="preserve">up to an aggregate principal amount </w:t>
      </w:r>
      <w:r w:rsidR="0000401F">
        <w:rPr>
          <w:rFonts w:ascii="Arial" w:hAnsi="Arial" w:cs="Arial"/>
          <w:sz w:val="24"/>
          <w:szCs w:val="24"/>
        </w:rPr>
        <w:t xml:space="preserve">of </w:t>
      </w:r>
      <w:r w:rsidR="00341744" w:rsidRPr="00636C53">
        <w:rPr>
          <w:rFonts w:ascii="Arial" w:hAnsi="Arial" w:cs="Arial"/>
          <w:bCs/>
          <w:sz w:val="24"/>
          <w:szCs w:val="24"/>
        </w:rPr>
        <w:t>$905,000</w:t>
      </w:r>
      <w:r w:rsidR="004F3005" w:rsidRPr="00636C53">
        <w:rPr>
          <w:rFonts w:ascii="Arial" w:hAnsi="Arial" w:cs="Arial"/>
          <w:bCs/>
          <w:sz w:val="24"/>
          <w:szCs w:val="24"/>
        </w:rPr>
        <w:t>,000 in bonded indebtedness</w:t>
      </w:r>
      <w:r w:rsidR="00DA2AE6" w:rsidRPr="00636C53">
        <w:rPr>
          <w:rFonts w:ascii="Arial" w:hAnsi="Arial" w:cs="Arial"/>
          <w:bCs/>
          <w:sz w:val="24"/>
          <w:szCs w:val="24"/>
        </w:rPr>
        <w:t xml:space="preserve"> for wastewater construction purposes</w:t>
      </w:r>
      <w:r w:rsidR="004F3005" w:rsidRPr="00636C53">
        <w:rPr>
          <w:rFonts w:ascii="Arial" w:hAnsi="Arial" w:cs="Arial"/>
          <w:bCs/>
          <w:sz w:val="24"/>
          <w:szCs w:val="24"/>
        </w:rPr>
        <w:t xml:space="preserve"> and would grant the Finance Director the </w:t>
      </w:r>
      <w:r w:rsidR="00CF7DB0" w:rsidRPr="00636C53">
        <w:rPr>
          <w:rFonts w:ascii="Arial" w:hAnsi="Arial" w:cs="Arial"/>
          <w:bCs/>
          <w:sz w:val="24"/>
          <w:szCs w:val="24"/>
        </w:rPr>
        <w:t xml:space="preserve">authority to approve </w:t>
      </w:r>
      <w:r w:rsidR="00B72584" w:rsidRPr="00636C53">
        <w:rPr>
          <w:rFonts w:ascii="Arial" w:hAnsi="Arial" w:cs="Arial"/>
          <w:bCs/>
          <w:sz w:val="24"/>
          <w:szCs w:val="24"/>
        </w:rPr>
        <w:t>bond sale actions within specified criteria</w:t>
      </w:r>
      <w:r w:rsidR="00044036" w:rsidRPr="00636C53">
        <w:rPr>
          <w:rFonts w:ascii="Arial" w:hAnsi="Arial" w:cs="Arial"/>
          <w:bCs/>
          <w:sz w:val="24"/>
          <w:szCs w:val="24"/>
        </w:rPr>
        <w:t>.</w:t>
      </w:r>
    </w:p>
    <w:p w14:paraId="1F56C231" w14:textId="6D035DA7" w:rsidR="00F93D5D" w:rsidRPr="00636C53" w:rsidRDefault="00D74050" w:rsidP="00F93D5D">
      <w:pPr>
        <w:keepNext/>
        <w:spacing w:line="264" w:lineRule="auto"/>
        <w:jc w:val="both"/>
        <w:rPr>
          <w:rFonts w:ascii="Arial" w:hAnsi="Arial" w:cs="Arial"/>
          <w:b/>
          <w:smallCaps/>
          <w:sz w:val="24"/>
          <w:szCs w:val="24"/>
          <w:u w:val="single"/>
        </w:rPr>
      </w:pPr>
      <w:r w:rsidRPr="00636C53">
        <w:rPr>
          <w:rFonts w:ascii="Arial" w:hAnsi="Arial" w:cs="Arial"/>
          <w:b/>
          <w:smallCaps/>
          <w:sz w:val="24"/>
          <w:szCs w:val="24"/>
          <w:u w:val="single"/>
        </w:rPr>
        <w:t xml:space="preserve">BACKGROUND </w:t>
      </w:r>
    </w:p>
    <w:p w14:paraId="49780239" w14:textId="4A521C26" w:rsidR="00F93D5D" w:rsidRDefault="00D74050" w:rsidP="00636C53">
      <w:pPr>
        <w:keepNext/>
        <w:spacing w:line="264" w:lineRule="auto"/>
        <w:jc w:val="both"/>
        <w:rPr>
          <w:rFonts w:ascii="Arial" w:hAnsi="Arial" w:cs="Arial"/>
          <w:sz w:val="24"/>
          <w:szCs w:val="24"/>
        </w:rPr>
      </w:pPr>
      <w:r w:rsidRPr="00636C53">
        <w:rPr>
          <w:rFonts w:ascii="Arial" w:hAnsi="Arial" w:cs="Arial"/>
          <w:sz w:val="24"/>
          <w:szCs w:val="24"/>
        </w:rPr>
        <w:t xml:space="preserve">King County’s regional wastewater treatment system </w:t>
      </w:r>
      <w:r w:rsidR="00F13727" w:rsidRPr="00636C53">
        <w:rPr>
          <w:rFonts w:ascii="Arial" w:hAnsi="Arial" w:cs="Arial"/>
          <w:sz w:val="24"/>
          <w:szCs w:val="24"/>
        </w:rPr>
        <w:t xml:space="preserve">operates </w:t>
      </w:r>
      <w:r w:rsidR="00BA375E" w:rsidRPr="00636C53">
        <w:rPr>
          <w:rFonts w:ascii="Arial" w:hAnsi="Arial" w:cs="Arial"/>
          <w:sz w:val="24"/>
          <w:szCs w:val="24"/>
        </w:rPr>
        <w:t xml:space="preserve">a </w:t>
      </w:r>
      <w:r w:rsidRPr="00636C53">
        <w:rPr>
          <w:rFonts w:ascii="Arial" w:hAnsi="Arial" w:cs="Arial"/>
          <w:sz w:val="24"/>
          <w:szCs w:val="24"/>
        </w:rPr>
        <w:t>$4 billion capital plant, including three regional wastewater treatment plant</w:t>
      </w:r>
      <w:r w:rsidR="00330019" w:rsidRPr="00636C53">
        <w:rPr>
          <w:rFonts w:ascii="Arial" w:hAnsi="Arial" w:cs="Arial"/>
          <w:sz w:val="24"/>
          <w:szCs w:val="24"/>
        </w:rPr>
        <w:t>s</w:t>
      </w:r>
      <w:r w:rsidRPr="00636C53">
        <w:rPr>
          <w:rFonts w:ascii="Arial" w:hAnsi="Arial" w:cs="Arial"/>
          <w:sz w:val="24"/>
          <w:szCs w:val="24"/>
        </w:rPr>
        <w:t xml:space="preserve">, two localized treatment plants, more than </w:t>
      </w:r>
      <w:r w:rsidR="00904CC6" w:rsidRPr="00636C53">
        <w:rPr>
          <w:rFonts w:ascii="Arial" w:hAnsi="Arial" w:cs="Arial"/>
          <w:sz w:val="24"/>
          <w:szCs w:val="24"/>
        </w:rPr>
        <w:t>39</w:t>
      </w:r>
      <w:r w:rsidRPr="00636C53">
        <w:rPr>
          <w:rFonts w:ascii="Arial" w:hAnsi="Arial" w:cs="Arial"/>
          <w:sz w:val="24"/>
          <w:szCs w:val="24"/>
        </w:rPr>
        <w:t>0 miles of sewer interceptors, 4</w:t>
      </w:r>
      <w:r w:rsidR="002214A7" w:rsidRPr="00636C53">
        <w:rPr>
          <w:rFonts w:ascii="Arial" w:hAnsi="Arial" w:cs="Arial"/>
          <w:sz w:val="24"/>
          <w:szCs w:val="24"/>
        </w:rPr>
        <w:t xml:space="preserve">8 </w:t>
      </w:r>
      <w:r w:rsidRPr="00636C53">
        <w:rPr>
          <w:rFonts w:ascii="Arial" w:hAnsi="Arial" w:cs="Arial"/>
          <w:sz w:val="24"/>
          <w:szCs w:val="24"/>
        </w:rPr>
        <w:t xml:space="preserve">pump stations, </w:t>
      </w:r>
      <w:r w:rsidR="002214A7" w:rsidRPr="00636C53">
        <w:rPr>
          <w:rFonts w:ascii="Arial" w:hAnsi="Arial" w:cs="Arial"/>
          <w:sz w:val="24"/>
          <w:szCs w:val="24"/>
        </w:rPr>
        <w:t>25</w:t>
      </w:r>
      <w:r w:rsidRPr="00636C53">
        <w:rPr>
          <w:rFonts w:ascii="Arial" w:hAnsi="Arial" w:cs="Arial"/>
          <w:sz w:val="24"/>
          <w:szCs w:val="24"/>
        </w:rPr>
        <w:t xml:space="preserve"> regulator stations, and various related facilities and systems.  The regional system receives wastewater from cities and sewer districts and conveys it to treatment facilities for treatment and discharge.</w:t>
      </w:r>
    </w:p>
    <w:p w14:paraId="792FAD3C" w14:textId="2CF18B41" w:rsidR="00D74050" w:rsidRPr="00636C53" w:rsidRDefault="00CF7AA9" w:rsidP="00636C53">
      <w:pPr>
        <w:keepNext/>
        <w:spacing w:line="264" w:lineRule="auto"/>
        <w:jc w:val="both"/>
        <w:rPr>
          <w:rFonts w:ascii="Arial" w:hAnsi="Arial" w:cs="Arial"/>
          <w:sz w:val="24"/>
          <w:szCs w:val="24"/>
        </w:rPr>
      </w:pPr>
      <w:r>
        <w:rPr>
          <w:rFonts w:ascii="Arial" w:hAnsi="Arial" w:cs="Arial"/>
          <w:sz w:val="24"/>
          <w:szCs w:val="24"/>
        </w:rPr>
        <w:t xml:space="preserve">The 2021-2022 biennial capital budget for </w:t>
      </w:r>
      <w:r w:rsidR="008968C1" w:rsidRPr="00636C53">
        <w:rPr>
          <w:rFonts w:ascii="Arial" w:hAnsi="Arial" w:cs="Arial"/>
          <w:sz w:val="24"/>
          <w:szCs w:val="24"/>
        </w:rPr>
        <w:t>King County’</w:t>
      </w:r>
      <w:r w:rsidR="002C21E0" w:rsidRPr="00636C53">
        <w:rPr>
          <w:rFonts w:ascii="Arial" w:hAnsi="Arial" w:cs="Arial"/>
          <w:sz w:val="24"/>
          <w:szCs w:val="24"/>
        </w:rPr>
        <w:t>s</w:t>
      </w:r>
      <w:r w:rsidR="00FD493D" w:rsidRPr="00636C53">
        <w:rPr>
          <w:rFonts w:ascii="Arial" w:hAnsi="Arial" w:cs="Arial"/>
          <w:sz w:val="24"/>
          <w:szCs w:val="24"/>
        </w:rPr>
        <w:t xml:space="preserve"> </w:t>
      </w:r>
      <w:r w:rsidR="002C21E0" w:rsidRPr="00636C53">
        <w:rPr>
          <w:rFonts w:ascii="Arial" w:hAnsi="Arial" w:cs="Arial"/>
          <w:sz w:val="24"/>
          <w:szCs w:val="24"/>
        </w:rPr>
        <w:t xml:space="preserve">Water Quality Construction Fund, that supports </w:t>
      </w:r>
      <w:r w:rsidR="00447780" w:rsidRPr="00636C53">
        <w:rPr>
          <w:rFonts w:ascii="Arial" w:hAnsi="Arial" w:cs="Arial"/>
          <w:sz w:val="24"/>
          <w:szCs w:val="24"/>
        </w:rPr>
        <w:t xml:space="preserve">debt service, </w:t>
      </w:r>
      <w:r w:rsidR="00D74050" w:rsidRPr="00636C53">
        <w:rPr>
          <w:rFonts w:ascii="Arial" w:hAnsi="Arial" w:cs="Arial"/>
          <w:sz w:val="24"/>
          <w:szCs w:val="24"/>
        </w:rPr>
        <w:t xml:space="preserve">system upgrade, maintenance and replacement is </w:t>
      </w:r>
      <w:r w:rsidR="00FD493D" w:rsidRPr="00636C53">
        <w:rPr>
          <w:rFonts w:ascii="Arial" w:hAnsi="Arial" w:cs="Arial"/>
          <w:sz w:val="24"/>
          <w:szCs w:val="24"/>
        </w:rPr>
        <w:t>$553,182,487</w:t>
      </w:r>
      <w:r w:rsidR="00D74050" w:rsidRPr="00636C53">
        <w:rPr>
          <w:rFonts w:ascii="Arial" w:hAnsi="Arial" w:cs="Arial"/>
          <w:sz w:val="24"/>
          <w:szCs w:val="24"/>
        </w:rPr>
        <w:t xml:space="preserve">.  Major capital undertakings include the </w:t>
      </w:r>
      <w:r w:rsidR="004D5384" w:rsidRPr="00636C53">
        <w:rPr>
          <w:rFonts w:ascii="Arial" w:hAnsi="Arial" w:cs="Arial"/>
          <w:sz w:val="24"/>
          <w:szCs w:val="24"/>
        </w:rPr>
        <w:t>expansion and upgrade of interceptor pipelines (Conveyance System Improvement Project)</w:t>
      </w:r>
      <w:r>
        <w:rPr>
          <w:rFonts w:ascii="Arial" w:hAnsi="Arial" w:cs="Arial"/>
          <w:sz w:val="24"/>
          <w:szCs w:val="24"/>
        </w:rPr>
        <w:t>,</w:t>
      </w:r>
      <w:r w:rsidR="004D5384" w:rsidRPr="00636C53">
        <w:rPr>
          <w:rFonts w:ascii="Arial" w:hAnsi="Arial" w:cs="Arial"/>
          <w:sz w:val="24"/>
          <w:szCs w:val="24"/>
        </w:rPr>
        <w:t xml:space="preserve"> the construction of Combined Sewer Overflow control facilities, treatment plant upgrades and repair, and other costs.  </w:t>
      </w:r>
    </w:p>
    <w:p w14:paraId="30BBFFCA" w14:textId="781D2918" w:rsidR="004D5384" w:rsidRPr="00636C53" w:rsidRDefault="004D5384" w:rsidP="00636C53">
      <w:pPr>
        <w:keepNext/>
        <w:spacing w:line="264" w:lineRule="auto"/>
        <w:jc w:val="both"/>
        <w:rPr>
          <w:rFonts w:ascii="Arial" w:hAnsi="Arial" w:cs="Arial"/>
          <w:sz w:val="24"/>
          <w:szCs w:val="24"/>
        </w:rPr>
      </w:pPr>
      <w:r w:rsidRPr="00636C53">
        <w:rPr>
          <w:rFonts w:ascii="Arial" w:hAnsi="Arial" w:cs="Arial"/>
          <w:sz w:val="24"/>
          <w:szCs w:val="24"/>
        </w:rPr>
        <w:t xml:space="preserve">Major capital project costs are supported by debt issuance, including revenue bonds, general obligation bonds, variable rate bonds, State Revolving Fund loans administered </w:t>
      </w:r>
      <w:r w:rsidRPr="00636C53">
        <w:rPr>
          <w:rFonts w:ascii="Arial" w:hAnsi="Arial" w:cs="Arial"/>
          <w:sz w:val="24"/>
          <w:szCs w:val="24"/>
        </w:rPr>
        <w:lastRenderedPageBreak/>
        <w:t>by the Washington Department of Ecology, and</w:t>
      </w:r>
      <w:r w:rsidR="00960FDA" w:rsidRPr="00636C53">
        <w:rPr>
          <w:rFonts w:ascii="Arial" w:hAnsi="Arial" w:cs="Arial"/>
          <w:sz w:val="24"/>
          <w:szCs w:val="24"/>
        </w:rPr>
        <w:t xml:space="preserve"> infrastructure project </w:t>
      </w:r>
      <w:r w:rsidRPr="00636C53">
        <w:rPr>
          <w:rFonts w:ascii="Arial" w:hAnsi="Arial" w:cs="Arial"/>
          <w:sz w:val="24"/>
          <w:szCs w:val="24"/>
        </w:rPr>
        <w:t xml:space="preserve"> loans administered by the Public Works Trust Fund of the Washington Department of Commerce.  </w:t>
      </w:r>
    </w:p>
    <w:p w14:paraId="47C70445" w14:textId="3E31B800" w:rsidR="006C4F41" w:rsidRPr="00636C53" w:rsidRDefault="004D5384" w:rsidP="00636C53">
      <w:pPr>
        <w:keepNext/>
        <w:spacing w:line="264" w:lineRule="auto"/>
        <w:jc w:val="both"/>
        <w:rPr>
          <w:rFonts w:ascii="Arial" w:hAnsi="Arial" w:cs="Arial"/>
          <w:sz w:val="24"/>
          <w:szCs w:val="24"/>
        </w:rPr>
      </w:pPr>
      <w:r w:rsidRPr="00636C53">
        <w:rPr>
          <w:rFonts w:ascii="Arial" w:hAnsi="Arial" w:cs="Arial"/>
          <w:sz w:val="24"/>
          <w:szCs w:val="24"/>
        </w:rPr>
        <w:t xml:space="preserve">Bonds are authorized by </w:t>
      </w:r>
      <w:r w:rsidR="00CF7AA9">
        <w:rPr>
          <w:rFonts w:ascii="Arial" w:hAnsi="Arial" w:cs="Arial"/>
          <w:sz w:val="24"/>
          <w:szCs w:val="24"/>
        </w:rPr>
        <w:t xml:space="preserve">ordinance approved by </w:t>
      </w:r>
      <w:r w:rsidRPr="00636C53">
        <w:rPr>
          <w:rFonts w:ascii="Arial" w:hAnsi="Arial" w:cs="Arial"/>
          <w:sz w:val="24"/>
          <w:szCs w:val="24"/>
        </w:rPr>
        <w:t xml:space="preserve">Council and have historically been followed by Council </w:t>
      </w:r>
      <w:r w:rsidR="000D0F54" w:rsidRPr="00636C53">
        <w:rPr>
          <w:rFonts w:ascii="Arial" w:hAnsi="Arial" w:cs="Arial"/>
          <w:sz w:val="24"/>
          <w:szCs w:val="24"/>
        </w:rPr>
        <w:t>consideration</w:t>
      </w:r>
      <w:r w:rsidRPr="00636C53">
        <w:rPr>
          <w:rFonts w:ascii="Arial" w:hAnsi="Arial" w:cs="Arial"/>
          <w:sz w:val="24"/>
          <w:szCs w:val="24"/>
        </w:rPr>
        <w:t xml:space="preserve"> of a motion approving bond sale actions, addressing terms, amounts, buyers, and other specifics.</w:t>
      </w:r>
    </w:p>
    <w:p w14:paraId="3C234139" w14:textId="6DB34C5E" w:rsidR="00E4204D" w:rsidRPr="00636C53" w:rsidRDefault="00E4204D" w:rsidP="00662EDD">
      <w:pPr>
        <w:keepNext/>
        <w:spacing w:line="264" w:lineRule="auto"/>
        <w:jc w:val="both"/>
        <w:rPr>
          <w:rFonts w:ascii="Arial" w:hAnsi="Arial" w:cs="Arial"/>
          <w:sz w:val="24"/>
          <w:szCs w:val="24"/>
        </w:rPr>
      </w:pPr>
      <w:r w:rsidRPr="009262A2">
        <w:rPr>
          <w:rFonts w:ascii="Arial" w:hAnsi="Arial" w:cs="Arial"/>
          <w:b/>
          <w:bCs/>
          <w:sz w:val="24"/>
          <w:szCs w:val="24"/>
        </w:rPr>
        <w:t>Sale of Bonds</w:t>
      </w:r>
      <w:r w:rsidR="00CF7AA9">
        <w:rPr>
          <w:rFonts w:ascii="Arial" w:hAnsi="Arial" w:cs="Arial"/>
          <w:b/>
          <w:bCs/>
          <w:sz w:val="24"/>
          <w:szCs w:val="24"/>
        </w:rPr>
        <w:t>.</w:t>
      </w:r>
      <w:r w:rsidR="00CF7AA9">
        <w:rPr>
          <w:rFonts w:ascii="Arial" w:hAnsi="Arial" w:cs="Arial"/>
          <w:sz w:val="24"/>
          <w:szCs w:val="24"/>
        </w:rPr>
        <w:t xml:space="preserve">  </w:t>
      </w:r>
      <w:r w:rsidRPr="00636C53">
        <w:rPr>
          <w:rFonts w:ascii="Arial" w:hAnsi="Arial" w:cs="Arial"/>
          <w:sz w:val="24"/>
          <w:szCs w:val="24"/>
        </w:rPr>
        <w:t xml:space="preserve">The </w:t>
      </w:r>
      <w:r w:rsidR="006E0401" w:rsidRPr="00636C53">
        <w:rPr>
          <w:rFonts w:ascii="Arial" w:hAnsi="Arial" w:cs="Arial"/>
          <w:sz w:val="24"/>
          <w:szCs w:val="24"/>
        </w:rPr>
        <w:t>Wastewater Treatment Division’s</w:t>
      </w:r>
      <w:r w:rsidRPr="00636C53">
        <w:rPr>
          <w:rFonts w:ascii="Arial" w:hAnsi="Arial" w:cs="Arial"/>
          <w:sz w:val="24"/>
          <w:szCs w:val="24"/>
        </w:rPr>
        <w:t xml:space="preserve"> capital program has historically been funded primarily by the sale of bonds, consistent with Wastewater Financial Policies provided for in King County Code:</w:t>
      </w:r>
    </w:p>
    <w:p w14:paraId="794A941D" w14:textId="0CF6B37D" w:rsidR="00E4204D" w:rsidRPr="00636C53" w:rsidRDefault="00E4204D" w:rsidP="00636C53">
      <w:pPr>
        <w:spacing w:line="264" w:lineRule="auto"/>
        <w:ind w:left="720"/>
        <w:jc w:val="both"/>
        <w:rPr>
          <w:rFonts w:ascii="Arial" w:hAnsi="Arial" w:cs="Arial"/>
          <w:sz w:val="24"/>
          <w:szCs w:val="24"/>
        </w:rPr>
      </w:pPr>
      <w:r w:rsidRPr="00636C53">
        <w:rPr>
          <w:rFonts w:ascii="Arial" w:hAnsi="Arial" w:cs="Arial"/>
          <w:b/>
          <w:bCs/>
          <w:sz w:val="24"/>
          <w:szCs w:val="24"/>
        </w:rPr>
        <w:t xml:space="preserve">28.86.160 Financial policies </w:t>
      </w:r>
      <w:r w:rsidRPr="00636C53">
        <w:rPr>
          <w:rFonts w:ascii="Arial" w:hAnsi="Arial" w:cs="Arial"/>
          <w:sz w:val="24"/>
          <w:szCs w:val="24"/>
        </w:rPr>
        <w:t>FP-13:  The wastewater system’s capital program shall be financed predominantly by annual staged issues of long-term general obligation or sewer revenue bonds</w:t>
      </w:r>
      <w:r w:rsidR="00C42DAB" w:rsidRPr="00636C53">
        <w:rPr>
          <w:rFonts w:ascii="Arial" w:hAnsi="Arial" w:cs="Arial"/>
          <w:sz w:val="24"/>
          <w:szCs w:val="24"/>
        </w:rPr>
        <w:t>…</w:t>
      </w:r>
    </w:p>
    <w:p w14:paraId="3D2107D5" w14:textId="316F1DFD" w:rsidR="00E4204D" w:rsidRPr="00636C53" w:rsidRDefault="00E4204D" w:rsidP="00636C53">
      <w:pPr>
        <w:spacing w:line="264" w:lineRule="auto"/>
        <w:jc w:val="both"/>
        <w:rPr>
          <w:rFonts w:ascii="Arial" w:hAnsi="Arial" w:cs="Arial"/>
          <w:sz w:val="24"/>
          <w:szCs w:val="24"/>
        </w:rPr>
      </w:pPr>
      <w:r w:rsidRPr="00636C53">
        <w:rPr>
          <w:rFonts w:ascii="Arial" w:hAnsi="Arial" w:cs="Arial"/>
          <w:sz w:val="24"/>
          <w:szCs w:val="24"/>
        </w:rPr>
        <w:t>The agency currently carries an outstanding principal of approximately $3.5</w:t>
      </w:r>
      <w:r w:rsidR="000D4154" w:rsidRPr="00636C53">
        <w:rPr>
          <w:rFonts w:ascii="Arial" w:hAnsi="Arial" w:cs="Arial"/>
          <w:sz w:val="24"/>
          <w:szCs w:val="24"/>
        </w:rPr>
        <w:t>5</w:t>
      </w:r>
      <w:r w:rsidRPr="00636C53">
        <w:rPr>
          <w:rFonts w:ascii="Arial" w:hAnsi="Arial" w:cs="Arial"/>
          <w:sz w:val="24"/>
          <w:szCs w:val="24"/>
        </w:rPr>
        <w:t xml:space="preserve"> billion of bonded indebtedness, based on the long</w:t>
      </w:r>
      <w:r w:rsidR="0092418E" w:rsidRPr="00636C53">
        <w:rPr>
          <w:rFonts w:ascii="Arial" w:hAnsi="Arial" w:cs="Arial"/>
          <w:sz w:val="24"/>
          <w:szCs w:val="24"/>
        </w:rPr>
        <w:t>-</w:t>
      </w:r>
      <w:r w:rsidRPr="00636C53">
        <w:rPr>
          <w:rFonts w:ascii="Arial" w:hAnsi="Arial" w:cs="Arial"/>
          <w:sz w:val="24"/>
          <w:szCs w:val="24"/>
        </w:rPr>
        <w:t xml:space="preserve">term capital program described above.  Table 1 provides a breakdown of the bonds by the type of debt instrument. </w:t>
      </w:r>
    </w:p>
    <w:p w14:paraId="2649DB2B" w14:textId="77777777" w:rsidR="00F93D5D" w:rsidRDefault="0093612A" w:rsidP="00F93D5D">
      <w:pPr>
        <w:spacing w:after="0" w:line="264" w:lineRule="auto"/>
        <w:contextualSpacing/>
        <w:jc w:val="center"/>
        <w:rPr>
          <w:rFonts w:ascii="Arial" w:hAnsi="Arial" w:cs="Arial"/>
          <w:b/>
          <w:sz w:val="24"/>
          <w:szCs w:val="24"/>
        </w:rPr>
      </w:pPr>
      <w:r w:rsidRPr="00636C53">
        <w:rPr>
          <w:rFonts w:ascii="Arial" w:hAnsi="Arial" w:cs="Arial"/>
          <w:b/>
          <w:sz w:val="24"/>
          <w:szCs w:val="24"/>
        </w:rPr>
        <w:t xml:space="preserve">Table 1. Summary of Outstanding Wastewater Debt Obligations </w:t>
      </w:r>
    </w:p>
    <w:p w14:paraId="267DDB1D" w14:textId="7D598BBC" w:rsidR="0093612A" w:rsidRDefault="0093612A" w:rsidP="00F93D5D">
      <w:pPr>
        <w:spacing w:after="0" w:line="264" w:lineRule="auto"/>
        <w:contextualSpacing/>
        <w:jc w:val="center"/>
        <w:rPr>
          <w:rFonts w:ascii="Arial" w:hAnsi="Arial" w:cs="Arial"/>
          <w:b/>
          <w:sz w:val="24"/>
          <w:szCs w:val="24"/>
        </w:rPr>
      </w:pPr>
      <w:r w:rsidRPr="00636C53">
        <w:rPr>
          <w:rFonts w:ascii="Arial" w:hAnsi="Arial" w:cs="Arial"/>
          <w:b/>
          <w:sz w:val="24"/>
          <w:szCs w:val="24"/>
        </w:rPr>
        <w:t>Based on Original Principal</w:t>
      </w:r>
    </w:p>
    <w:p w14:paraId="6F529CE3" w14:textId="77777777" w:rsidR="00F93D5D" w:rsidRPr="00636C53" w:rsidRDefault="00F93D5D" w:rsidP="00F93D5D">
      <w:pPr>
        <w:spacing w:after="0" w:line="264" w:lineRule="auto"/>
        <w:contextualSpacing/>
        <w:jc w:val="center"/>
        <w:rPr>
          <w:rFonts w:ascii="Arial" w:hAnsi="Arial" w:cs="Arial"/>
          <w:b/>
          <w:sz w:val="24"/>
          <w:szCs w:val="24"/>
        </w:rPr>
      </w:pPr>
    </w:p>
    <w:tbl>
      <w:tblPr>
        <w:tblStyle w:val="TableGrid"/>
        <w:tblW w:w="0" w:type="auto"/>
        <w:tblLook w:val="04A0" w:firstRow="1" w:lastRow="0" w:firstColumn="1" w:lastColumn="0" w:noHBand="0" w:noVBand="1"/>
      </w:tblPr>
      <w:tblGrid>
        <w:gridCol w:w="3685"/>
        <w:gridCol w:w="1530"/>
        <w:gridCol w:w="2067"/>
        <w:gridCol w:w="2068"/>
      </w:tblGrid>
      <w:tr w:rsidR="0093612A" w:rsidRPr="00CF7AA9" w14:paraId="6841EFCF" w14:textId="77777777" w:rsidTr="00066578">
        <w:tc>
          <w:tcPr>
            <w:tcW w:w="3685" w:type="dxa"/>
            <w:shd w:val="clear" w:color="auto" w:fill="000000" w:themeFill="text1"/>
            <w:vAlign w:val="bottom"/>
          </w:tcPr>
          <w:p w14:paraId="454BA580" w14:textId="77777777" w:rsidR="0093612A" w:rsidRPr="00CF7AA9" w:rsidRDefault="0093612A" w:rsidP="00636C53">
            <w:pPr>
              <w:spacing w:line="264" w:lineRule="auto"/>
              <w:rPr>
                <w:rFonts w:ascii="Arial" w:hAnsi="Arial" w:cs="Arial"/>
                <w:b/>
                <w:bCs/>
                <w:color w:val="FFFFFF" w:themeColor="background1"/>
                <w:sz w:val="22"/>
                <w:szCs w:val="22"/>
              </w:rPr>
            </w:pPr>
            <w:r w:rsidRPr="00CF7AA9">
              <w:rPr>
                <w:rFonts w:ascii="Arial" w:hAnsi="Arial" w:cs="Arial"/>
                <w:b/>
                <w:bCs/>
                <w:color w:val="FFFFFF" w:themeColor="background1"/>
                <w:sz w:val="22"/>
                <w:szCs w:val="22"/>
              </w:rPr>
              <w:t>Type of Instrument</w:t>
            </w:r>
          </w:p>
        </w:tc>
        <w:tc>
          <w:tcPr>
            <w:tcW w:w="1530" w:type="dxa"/>
            <w:shd w:val="clear" w:color="auto" w:fill="000000" w:themeFill="text1"/>
            <w:vAlign w:val="bottom"/>
          </w:tcPr>
          <w:p w14:paraId="021901A9" w14:textId="0188B70D" w:rsidR="0093612A" w:rsidRPr="00CF7AA9" w:rsidRDefault="00CF7AA9" w:rsidP="00636C53">
            <w:pPr>
              <w:spacing w:line="264" w:lineRule="auto"/>
              <w:jc w:val="center"/>
              <w:rPr>
                <w:rFonts w:ascii="Arial" w:hAnsi="Arial" w:cs="Arial"/>
                <w:b/>
                <w:bCs/>
                <w:color w:val="FFFFFF" w:themeColor="background1"/>
                <w:sz w:val="22"/>
                <w:szCs w:val="22"/>
              </w:rPr>
            </w:pPr>
            <w:r>
              <w:rPr>
                <w:rFonts w:ascii="Arial" w:hAnsi="Arial" w:cs="Arial"/>
                <w:b/>
                <w:bCs/>
                <w:color w:val="FFFFFF" w:themeColor="background1"/>
                <w:sz w:val="22"/>
                <w:szCs w:val="22"/>
              </w:rPr>
              <w:t>Year</w:t>
            </w:r>
            <w:r w:rsidRPr="00CF7AA9">
              <w:rPr>
                <w:rFonts w:ascii="Arial" w:hAnsi="Arial" w:cs="Arial"/>
                <w:b/>
                <w:bCs/>
                <w:color w:val="FFFFFF" w:themeColor="background1"/>
                <w:sz w:val="22"/>
                <w:szCs w:val="22"/>
              </w:rPr>
              <w:t xml:space="preserve">s </w:t>
            </w:r>
            <w:r w:rsidR="0093612A" w:rsidRPr="00CF7AA9">
              <w:rPr>
                <w:rFonts w:ascii="Arial" w:hAnsi="Arial" w:cs="Arial"/>
                <w:b/>
                <w:bCs/>
                <w:color w:val="FFFFFF" w:themeColor="background1"/>
                <w:sz w:val="22"/>
                <w:szCs w:val="22"/>
              </w:rPr>
              <w:t>of Issue</w:t>
            </w:r>
          </w:p>
        </w:tc>
        <w:tc>
          <w:tcPr>
            <w:tcW w:w="2067" w:type="dxa"/>
            <w:shd w:val="clear" w:color="auto" w:fill="000000" w:themeFill="text1"/>
            <w:vAlign w:val="bottom"/>
          </w:tcPr>
          <w:p w14:paraId="146161ED" w14:textId="77777777" w:rsidR="0093612A" w:rsidRPr="00CF7AA9" w:rsidRDefault="0093612A" w:rsidP="00636C53">
            <w:pPr>
              <w:spacing w:line="264" w:lineRule="auto"/>
              <w:jc w:val="center"/>
              <w:rPr>
                <w:rFonts w:ascii="Arial" w:hAnsi="Arial" w:cs="Arial"/>
                <w:b/>
                <w:bCs/>
                <w:color w:val="FFFFFF" w:themeColor="background1"/>
                <w:sz w:val="22"/>
                <w:szCs w:val="22"/>
              </w:rPr>
            </w:pPr>
            <w:r w:rsidRPr="00CF7AA9">
              <w:rPr>
                <w:rFonts w:ascii="Arial" w:hAnsi="Arial" w:cs="Arial"/>
                <w:b/>
                <w:bCs/>
                <w:color w:val="FFFFFF" w:themeColor="background1"/>
                <w:sz w:val="22"/>
                <w:szCs w:val="22"/>
              </w:rPr>
              <w:t>Total of Original Principal</w:t>
            </w:r>
          </w:p>
        </w:tc>
        <w:tc>
          <w:tcPr>
            <w:tcW w:w="2068" w:type="dxa"/>
            <w:shd w:val="clear" w:color="auto" w:fill="000000" w:themeFill="text1"/>
          </w:tcPr>
          <w:p w14:paraId="76F6770C" w14:textId="77777777" w:rsidR="0093612A" w:rsidRPr="00CF7AA9" w:rsidRDefault="0093612A" w:rsidP="00636C53">
            <w:pPr>
              <w:spacing w:line="264" w:lineRule="auto"/>
              <w:jc w:val="center"/>
              <w:rPr>
                <w:rFonts w:ascii="Arial" w:hAnsi="Arial" w:cs="Arial"/>
                <w:b/>
                <w:bCs/>
                <w:color w:val="FFFFFF" w:themeColor="background1"/>
                <w:sz w:val="22"/>
                <w:szCs w:val="22"/>
              </w:rPr>
            </w:pPr>
            <w:r w:rsidRPr="00CF7AA9">
              <w:rPr>
                <w:rFonts w:ascii="Arial" w:hAnsi="Arial" w:cs="Arial"/>
                <w:b/>
                <w:bCs/>
                <w:color w:val="FFFFFF" w:themeColor="background1"/>
                <w:sz w:val="22"/>
                <w:szCs w:val="22"/>
              </w:rPr>
              <w:t>Outstanding Principal</w:t>
            </w:r>
          </w:p>
        </w:tc>
      </w:tr>
      <w:tr w:rsidR="0093612A" w:rsidRPr="00CF7AA9" w14:paraId="7A8B8AB6" w14:textId="77777777" w:rsidTr="00066578">
        <w:trPr>
          <w:trHeight w:val="440"/>
        </w:trPr>
        <w:tc>
          <w:tcPr>
            <w:tcW w:w="3685" w:type="dxa"/>
            <w:vAlign w:val="bottom"/>
          </w:tcPr>
          <w:p w14:paraId="4499BA21" w14:textId="77777777" w:rsidR="0093612A" w:rsidRPr="00CF7AA9" w:rsidRDefault="0093612A" w:rsidP="00636C53">
            <w:pPr>
              <w:spacing w:line="264" w:lineRule="auto"/>
              <w:rPr>
                <w:rFonts w:ascii="Arial" w:hAnsi="Arial" w:cs="Arial"/>
                <w:color w:val="000000"/>
                <w:sz w:val="22"/>
                <w:szCs w:val="22"/>
              </w:rPr>
            </w:pPr>
            <w:r w:rsidRPr="00CF7AA9">
              <w:rPr>
                <w:rFonts w:ascii="Arial" w:hAnsi="Arial" w:cs="Arial"/>
                <w:color w:val="000000"/>
                <w:sz w:val="22"/>
                <w:szCs w:val="22"/>
              </w:rPr>
              <w:t>Outstanding Parity Bonds</w:t>
            </w:r>
          </w:p>
        </w:tc>
        <w:tc>
          <w:tcPr>
            <w:tcW w:w="1530" w:type="dxa"/>
            <w:vAlign w:val="bottom"/>
          </w:tcPr>
          <w:p w14:paraId="58866D56" w14:textId="5C906017" w:rsidR="0093612A" w:rsidRPr="00CF7AA9" w:rsidRDefault="0093612A" w:rsidP="00636C53">
            <w:pPr>
              <w:spacing w:line="264" w:lineRule="auto"/>
              <w:jc w:val="center"/>
              <w:rPr>
                <w:rFonts w:ascii="Arial" w:hAnsi="Arial" w:cs="Arial"/>
                <w:color w:val="000000"/>
                <w:sz w:val="22"/>
                <w:szCs w:val="22"/>
              </w:rPr>
            </w:pPr>
            <w:r w:rsidRPr="00CF7AA9">
              <w:rPr>
                <w:rFonts w:ascii="Arial" w:hAnsi="Arial" w:cs="Arial"/>
                <w:color w:val="000000"/>
                <w:sz w:val="22"/>
                <w:szCs w:val="22"/>
              </w:rPr>
              <w:t>201</w:t>
            </w:r>
            <w:r w:rsidR="004E0E0A" w:rsidRPr="00CF7AA9">
              <w:rPr>
                <w:rFonts w:ascii="Arial" w:hAnsi="Arial" w:cs="Arial"/>
                <w:color w:val="000000"/>
                <w:sz w:val="22"/>
                <w:szCs w:val="22"/>
              </w:rPr>
              <w:t>1</w:t>
            </w:r>
            <w:r w:rsidR="00EF039F" w:rsidRPr="00CF7AA9">
              <w:rPr>
                <w:rFonts w:ascii="Arial" w:hAnsi="Arial" w:cs="Arial"/>
                <w:color w:val="000000"/>
                <w:sz w:val="22"/>
                <w:szCs w:val="22"/>
              </w:rPr>
              <w:t>-2021</w:t>
            </w:r>
          </w:p>
        </w:tc>
        <w:tc>
          <w:tcPr>
            <w:tcW w:w="2067" w:type="dxa"/>
            <w:vAlign w:val="bottom"/>
          </w:tcPr>
          <w:p w14:paraId="381D64EB" w14:textId="4756B123" w:rsidR="0093612A" w:rsidRPr="00CF7AA9" w:rsidRDefault="00D25BF1" w:rsidP="00636C53">
            <w:pPr>
              <w:spacing w:line="264" w:lineRule="auto"/>
              <w:jc w:val="right"/>
              <w:rPr>
                <w:rFonts w:ascii="Arial" w:hAnsi="Arial" w:cs="Arial"/>
                <w:color w:val="000000"/>
                <w:sz w:val="22"/>
                <w:szCs w:val="22"/>
              </w:rPr>
            </w:pPr>
            <w:r w:rsidRPr="00CF7AA9">
              <w:rPr>
                <w:rFonts w:ascii="Arial" w:hAnsi="Arial" w:cs="Arial"/>
                <w:sz w:val="22"/>
                <w:szCs w:val="22"/>
              </w:rPr>
              <w:t>$2,887,565,000</w:t>
            </w:r>
          </w:p>
        </w:tc>
        <w:tc>
          <w:tcPr>
            <w:tcW w:w="2068" w:type="dxa"/>
            <w:vAlign w:val="bottom"/>
          </w:tcPr>
          <w:p w14:paraId="5AB55BB1" w14:textId="2F118305" w:rsidR="0093612A" w:rsidRPr="00CF7AA9" w:rsidRDefault="008B6348" w:rsidP="00636C53">
            <w:pPr>
              <w:spacing w:line="264" w:lineRule="auto"/>
              <w:jc w:val="right"/>
              <w:rPr>
                <w:rFonts w:ascii="Arial" w:hAnsi="Arial" w:cs="Arial"/>
                <w:color w:val="000000"/>
                <w:sz w:val="22"/>
                <w:szCs w:val="22"/>
              </w:rPr>
            </w:pPr>
            <w:r w:rsidRPr="00CF7AA9">
              <w:rPr>
                <w:rFonts w:ascii="Arial" w:hAnsi="Arial" w:cs="Arial"/>
                <w:sz w:val="22"/>
                <w:szCs w:val="22"/>
              </w:rPr>
              <w:t>$2,200,370</w:t>
            </w:r>
            <w:r w:rsidR="006D2F45" w:rsidRPr="00CF7AA9">
              <w:rPr>
                <w:rFonts w:ascii="Arial" w:hAnsi="Arial" w:cs="Arial"/>
                <w:sz w:val="22"/>
                <w:szCs w:val="22"/>
              </w:rPr>
              <w:t>,</w:t>
            </w:r>
            <w:r w:rsidRPr="00CF7AA9">
              <w:rPr>
                <w:rFonts w:ascii="Arial" w:hAnsi="Arial" w:cs="Arial"/>
                <w:sz w:val="22"/>
                <w:szCs w:val="22"/>
              </w:rPr>
              <w:t>000</w:t>
            </w:r>
          </w:p>
        </w:tc>
      </w:tr>
      <w:tr w:rsidR="0093612A" w:rsidRPr="00CF7AA9" w14:paraId="7E21174E" w14:textId="77777777" w:rsidTr="00066578">
        <w:trPr>
          <w:trHeight w:val="440"/>
        </w:trPr>
        <w:tc>
          <w:tcPr>
            <w:tcW w:w="3685" w:type="dxa"/>
            <w:vAlign w:val="bottom"/>
          </w:tcPr>
          <w:p w14:paraId="56555A28" w14:textId="77777777" w:rsidR="0093612A" w:rsidRPr="00CF7AA9" w:rsidRDefault="0093612A" w:rsidP="00636C53">
            <w:pPr>
              <w:spacing w:line="264" w:lineRule="auto"/>
              <w:rPr>
                <w:rFonts w:ascii="Arial" w:hAnsi="Arial" w:cs="Arial"/>
                <w:color w:val="000000"/>
                <w:sz w:val="22"/>
                <w:szCs w:val="22"/>
              </w:rPr>
            </w:pPr>
            <w:r w:rsidRPr="00CF7AA9">
              <w:rPr>
                <w:rFonts w:ascii="Arial" w:hAnsi="Arial" w:cs="Arial"/>
                <w:color w:val="000000"/>
                <w:sz w:val="22"/>
                <w:szCs w:val="22"/>
              </w:rPr>
              <w:t>Outstanding Parity Lien Obligations</w:t>
            </w:r>
          </w:p>
        </w:tc>
        <w:tc>
          <w:tcPr>
            <w:tcW w:w="1530" w:type="dxa"/>
            <w:vAlign w:val="bottom"/>
          </w:tcPr>
          <w:p w14:paraId="23709C0E" w14:textId="3EC54B26" w:rsidR="0093612A" w:rsidRPr="00CF7AA9" w:rsidRDefault="0093612A" w:rsidP="00636C53">
            <w:pPr>
              <w:spacing w:line="264" w:lineRule="auto"/>
              <w:jc w:val="center"/>
              <w:rPr>
                <w:rFonts w:ascii="Arial" w:hAnsi="Arial" w:cs="Arial"/>
                <w:color w:val="000000"/>
                <w:sz w:val="22"/>
                <w:szCs w:val="22"/>
              </w:rPr>
            </w:pPr>
            <w:r w:rsidRPr="00CF7AA9">
              <w:rPr>
                <w:rFonts w:ascii="Arial" w:hAnsi="Arial" w:cs="Arial"/>
                <w:color w:val="000000"/>
                <w:sz w:val="22"/>
                <w:szCs w:val="22"/>
              </w:rPr>
              <w:t>2008-20</w:t>
            </w:r>
            <w:r w:rsidR="006D2F45" w:rsidRPr="00CF7AA9">
              <w:rPr>
                <w:rFonts w:ascii="Arial" w:hAnsi="Arial" w:cs="Arial"/>
                <w:color w:val="000000"/>
                <w:sz w:val="22"/>
                <w:szCs w:val="22"/>
              </w:rPr>
              <w:t>21</w:t>
            </w:r>
          </w:p>
        </w:tc>
        <w:tc>
          <w:tcPr>
            <w:tcW w:w="2067" w:type="dxa"/>
            <w:vAlign w:val="bottom"/>
          </w:tcPr>
          <w:p w14:paraId="321F91AA" w14:textId="27B41D8C" w:rsidR="0093612A" w:rsidRPr="00CF7AA9" w:rsidRDefault="00D3671C" w:rsidP="00636C53">
            <w:pPr>
              <w:spacing w:line="264" w:lineRule="auto"/>
              <w:jc w:val="right"/>
              <w:rPr>
                <w:rFonts w:ascii="Arial" w:hAnsi="Arial" w:cs="Arial"/>
                <w:color w:val="000000"/>
                <w:sz w:val="22"/>
                <w:szCs w:val="22"/>
              </w:rPr>
            </w:pPr>
            <w:r w:rsidRPr="00CF7AA9">
              <w:rPr>
                <w:rFonts w:ascii="Arial" w:hAnsi="Arial" w:cs="Arial"/>
                <w:sz w:val="22"/>
                <w:szCs w:val="22"/>
              </w:rPr>
              <w:t>$1,142,860</w:t>
            </w:r>
            <w:r w:rsidR="00530589" w:rsidRPr="00CF7AA9">
              <w:rPr>
                <w:rFonts w:ascii="Arial" w:hAnsi="Arial" w:cs="Arial"/>
                <w:sz w:val="22"/>
                <w:szCs w:val="22"/>
              </w:rPr>
              <w:t>,</w:t>
            </w:r>
            <w:r w:rsidRPr="00CF7AA9">
              <w:rPr>
                <w:rFonts w:ascii="Arial" w:hAnsi="Arial" w:cs="Arial"/>
                <w:sz w:val="22"/>
                <w:szCs w:val="22"/>
              </w:rPr>
              <w:t>000</w:t>
            </w:r>
          </w:p>
        </w:tc>
        <w:tc>
          <w:tcPr>
            <w:tcW w:w="2068" w:type="dxa"/>
            <w:vAlign w:val="bottom"/>
          </w:tcPr>
          <w:p w14:paraId="0023F2AA" w14:textId="3324F3B7" w:rsidR="0093612A" w:rsidRPr="00CF7AA9" w:rsidRDefault="00530589" w:rsidP="00636C53">
            <w:pPr>
              <w:spacing w:line="264" w:lineRule="auto"/>
              <w:jc w:val="right"/>
              <w:rPr>
                <w:rFonts w:ascii="Arial" w:hAnsi="Arial" w:cs="Arial"/>
                <w:color w:val="000000"/>
                <w:sz w:val="22"/>
                <w:szCs w:val="22"/>
              </w:rPr>
            </w:pPr>
            <w:r w:rsidRPr="00CF7AA9">
              <w:rPr>
                <w:rFonts w:ascii="Arial" w:hAnsi="Arial" w:cs="Arial"/>
                <w:color w:val="000000"/>
                <w:sz w:val="22"/>
                <w:szCs w:val="22"/>
              </w:rPr>
              <w:t>$730,450,000</w:t>
            </w:r>
          </w:p>
        </w:tc>
      </w:tr>
      <w:tr w:rsidR="0093612A" w:rsidRPr="00CF7AA9" w14:paraId="3AC54198" w14:textId="77777777" w:rsidTr="00066578">
        <w:trPr>
          <w:trHeight w:val="440"/>
        </w:trPr>
        <w:tc>
          <w:tcPr>
            <w:tcW w:w="3685" w:type="dxa"/>
            <w:vAlign w:val="bottom"/>
          </w:tcPr>
          <w:p w14:paraId="56880A57" w14:textId="77777777" w:rsidR="0093612A" w:rsidRPr="00CF7AA9" w:rsidRDefault="0093612A" w:rsidP="00636C53">
            <w:pPr>
              <w:spacing w:line="264" w:lineRule="auto"/>
              <w:rPr>
                <w:rFonts w:ascii="Arial" w:hAnsi="Arial" w:cs="Arial"/>
                <w:color w:val="000000"/>
                <w:sz w:val="22"/>
                <w:szCs w:val="22"/>
              </w:rPr>
            </w:pPr>
            <w:r w:rsidRPr="00CF7AA9">
              <w:rPr>
                <w:rFonts w:ascii="Arial" w:hAnsi="Arial" w:cs="Arial"/>
                <w:color w:val="000000"/>
                <w:sz w:val="22"/>
                <w:szCs w:val="22"/>
              </w:rPr>
              <w:t>Outstanding Variable Rate Debt</w:t>
            </w:r>
          </w:p>
        </w:tc>
        <w:tc>
          <w:tcPr>
            <w:tcW w:w="1530" w:type="dxa"/>
            <w:vAlign w:val="bottom"/>
          </w:tcPr>
          <w:p w14:paraId="3C018F56" w14:textId="766959FA" w:rsidR="0093612A" w:rsidRPr="00CF7AA9" w:rsidRDefault="0093612A" w:rsidP="00636C53">
            <w:pPr>
              <w:spacing w:line="264" w:lineRule="auto"/>
              <w:jc w:val="center"/>
              <w:rPr>
                <w:rFonts w:ascii="Arial" w:hAnsi="Arial" w:cs="Arial"/>
                <w:color w:val="000000"/>
                <w:sz w:val="22"/>
                <w:szCs w:val="22"/>
              </w:rPr>
            </w:pPr>
            <w:r w:rsidRPr="00CF7AA9">
              <w:rPr>
                <w:rFonts w:ascii="Arial" w:hAnsi="Arial" w:cs="Arial"/>
                <w:color w:val="000000"/>
                <w:sz w:val="22"/>
                <w:szCs w:val="22"/>
              </w:rPr>
              <w:t>20</w:t>
            </w:r>
            <w:r w:rsidR="00530589" w:rsidRPr="00CF7AA9">
              <w:rPr>
                <w:rFonts w:ascii="Arial" w:hAnsi="Arial" w:cs="Arial"/>
                <w:color w:val="000000"/>
                <w:sz w:val="22"/>
                <w:szCs w:val="22"/>
              </w:rPr>
              <w:t>17-2021</w:t>
            </w:r>
          </w:p>
        </w:tc>
        <w:tc>
          <w:tcPr>
            <w:tcW w:w="2067" w:type="dxa"/>
            <w:vAlign w:val="bottom"/>
          </w:tcPr>
          <w:p w14:paraId="22E4A704" w14:textId="01233BDA" w:rsidR="0093612A" w:rsidRPr="00CF7AA9" w:rsidRDefault="0093612A" w:rsidP="00636C53">
            <w:pPr>
              <w:spacing w:line="264" w:lineRule="auto"/>
              <w:jc w:val="right"/>
              <w:rPr>
                <w:rFonts w:ascii="Arial" w:hAnsi="Arial" w:cs="Arial"/>
                <w:color w:val="000000"/>
                <w:sz w:val="22"/>
                <w:szCs w:val="22"/>
              </w:rPr>
            </w:pPr>
            <w:r w:rsidRPr="00CF7AA9">
              <w:rPr>
                <w:rFonts w:ascii="Arial" w:hAnsi="Arial" w:cs="Arial"/>
                <w:color w:val="000000"/>
                <w:sz w:val="22"/>
                <w:szCs w:val="22"/>
              </w:rPr>
              <w:t>$</w:t>
            </w:r>
            <w:r w:rsidR="00530589" w:rsidRPr="00CF7AA9">
              <w:rPr>
                <w:rFonts w:ascii="Arial" w:hAnsi="Arial" w:cs="Arial"/>
                <w:color w:val="000000"/>
                <w:sz w:val="22"/>
                <w:szCs w:val="22"/>
              </w:rPr>
              <w:t>627,885,000</w:t>
            </w:r>
            <w:r w:rsidRPr="00CF7AA9">
              <w:rPr>
                <w:rFonts w:ascii="Arial" w:hAnsi="Arial" w:cs="Arial"/>
                <w:color w:val="000000"/>
                <w:sz w:val="22"/>
                <w:szCs w:val="22"/>
              </w:rPr>
              <w:t xml:space="preserve"> </w:t>
            </w:r>
          </w:p>
        </w:tc>
        <w:tc>
          <w:tcPr>
            <w:tcW w:w="2068" w:type="dxa"/>
            <w:vAlign w:val="bottom"/>
          </w:tcPr>
          <w:p w14:paraId="38E816F3" w14:textId="74F7C535" w:rsidR="0093612A" w:rsidRPr="00CF7AA9" w:rsidRDefault="0093612A" w:rsidP="00636C53">
            <w:pPr>
              <w:spacing w:line="264" w:lineRule="auto"/>
              <w:jc w:val="right"/>
              <w:rPr>
                <w:rFonts w:ascii="Arial" w:hAnsi="Arial" w:cs="Arial"/>
                <w:color w:val="000000"/>
                <w:sz w:val="22"/>
                <w:szCs w:val="22"/>
              </w:rPr>
            </w:pPr>
            <w:r w:rsidRPr="00CF7AA9">
              <w:rPr>
                <w:rFonts w:ascii="Arial" w:hAnsi="Arial" w:cs="Arial"/>
                <w:color w:val="000000"/>
                <w:sz w:val="22"/>
                <w:szCs w:val="22"/>
              </w:rPr>
              <w:t>$</w:t>
            </w:r>
            <w:r w:rsidR="00530589" w:rsidRPr="00CF7AA9">
              <w:rPr>
                <w:rFonts w:ascii="Arial" w:hAnsi="Arial" w:cs="Arial"/>
                <w:color w:val="000000"/>
                <w:sz w:val="22"/>
                <w:szCs w:val="22"/>
              </w:rPr>
              <w:t>624,240,000</w:t>
            </w:r>
          </w:p>
        </w:tc>
      </w:tr>
      <w:tr w:rsidR="0093612A" w:rsidRPr="00CF7AA9" w14:paraId="36207570" w14:textId="77777777" w:rsidTr="00066578">
        <w:trPr>
          <w:trHeight w:val="440"/>
        </w:trPr>
        <w:tc>
          <w:tcPr>
            <w:tcW w:w="3685" w:type="dxa"/>
            <w:shd w:val="clear" w:color="auto" w:fill="D9D9D9" w:themeFill="background1" w:themeFillShade="D9"/>
            <w:vAlign w:val="bottom"/>
          </w:tcPr>
          <w:p w14:paraId="3C722B7A" w14:textId="77777777" w:rsidR="0093612A" w:rsidRPr="00CF7AA9" w:rsidRDefault="0093612A" w:rsidP="00636C53">
            <w:pPr>
              <w:spacing w:line="264" w:lineRule="auto"/>
              <w:jc w:val="right"/>
              <w:rPr>
                <w:rFonts w:ascii="Arial" w:hAnsi="Arial" w:cs="Arial"/>
                <w:b/>
                <w:color w:val="000000"/>
                <w:sz w:val="22"/>
                <w:szCs w:val="22"/>
              </w:rPr>
            </w:pPr>
          </w:p>
        </w:tc>
        <w:tc>
          <w:tcPr>
            <w:tcW w:w="1530" w:type="dxa"/>
            <w:shd w:val="clear" w:color="auto" w:fill="D9D9D9" w:themeFill="background1" w:themeFillShade="D9"/>
            <w:vAlign w:val="bottom"/>
          </w:tcPr>
          <w:p w14:paraId="02FAB733" w14:textId="77777777" w:rsidR="0093612A" w:rsidRPr="00CF7AA9" w:rsidRDefault="0093612A" w:rsidP="00636C53">
            <w:pPr>
              <w:spacing w:line="264" w:lineRule="auto"/>
              <w:jc w:val="right"/>
              <w:rPr>
                <w:rFonts w:ascii="Arial" w:hAnsi="Arial" w:cs="Arial"/>
                <w:b/>
                <w:color w:val="000000"/>
                <w:sz w:val="22"/>
                <w:szCs w:val="22"/>
              </w:rPr>
            </w:pPr>
            <w:r w:rsidRPr="00CF7AA9">
              <w:rPr>
                <w:rFonts w:ascii="Arial" w:hAnsi="Arial" w:cs="Arial"/>
                <w:b/>
                <w:color w:val="000000"/>
                <w:sz w:val="22"/>
                <w:szCs w:val="22"/>
              </w:rPr>
              <w:t>Total</w:t>
            </w:r>
          </w:p>
        </w:tc>
        <w:tc>
          <w:tcPr>
            <w:tcW w:w="2067" w:type="dxa"/>
            <w:shd w:val="clear" w:color="auto" w:fill="D9D9D9" w:themeFill="background1" w:themeFillShade="D9"/>
            <w:vAlign w:val="bottom"/>
          </w:tcPr>
          <w:p w14:paraId="6752C4C4" w14:textId="37801FFA" w:rsidR="0093612A" w:rsidRPr="00CF7AA9" w:rsidRDefault="0093612A" w:rsidP="00636C53">
            <w:pPr>
              <w:spacing w:line="264" w:lineRule="auto"/>
              <w:jc w:val="right"/>
              <w:rPr>
                <w:rFonts w:ascii="Arial" w:hAnsi="Arial" w:cs="Arial"/>
                <w:b/>
                <w:color w:val="000000"/>
                <w:sz w:val="22"/>
                <w:szCs w:val="22"/>
              </w:rPr>
            </w:pPr>
            <w:r w:rsidRPr="00CF7AA9">
              <w:rPr>
                <w:rFonts w:ascii="Arial" w:hAnsi="Arial" w:cs="Arial"/>
                <w:b/>
                <w:color w:val="000000"/>
                <w:sz w:val="22"/>
                <w:szCs w:val="22"/>
              </w:rPr>
              <w:t>$4,</w:t>
            </w:r>
            <w:r w:rsidR="006E5019" w:rsidRPr="00CF7AA9">
              <w:rPr>
                <w:rFonts w:ascii="Arial" w:hAnsi="Arial" w:cs="Arial"/>
                <w:b/>
                <w:color w:val="000000"/>
                <w:sz w:val="22"/>
                <w:szCs w:val="22"/>
              </w:rPr>
              <w:t>65</w:t>
            </w:r>
            <w:r w:rsidR="00652752" w:rsidRPr="00CF7AA9">
              <w:rPr>
                <w:rFonts w:ascii="Arial" w:hAnsi="Arial" w:cs="Arial"/>
                <w:b/>
                <w:color w:val="000000"/>
                <w:sz w:val="22"/>
                <w:szCs w:val="22"/>
              </w:rPr>
              <w:t>8,310,000</w:t>
            </w:r>
          </w:p>
        </w:tc>
        <w:tc>
          <w:tcPr>
            <w:tcW w:w="2068" w:type="dxa"/>
            <w:shd w:val="clear" w:color="auto" w:fill="D9D9D9" w:themeFill="background1" w:themeFillShade="D9"/>
            <w:vAlign w:val="bottom"/>
          </w:tcPr>
          <w:p w14:paraId="6D53779B" w14:textId="127CE9CD" w:rsidR="0093612A" w:rsidRPr="00CF7AA9" w:rsidRDefault="0093612A" w:rsidP="00636C53">
            <w:pPr>
              <w:spacing w:line="264" w:lineRule="auto"/>
              <w:jc w:val="right"/>
              <w:rPr>
                <w:rFonts w:ascii="Arial" w:hAnsi="Arial" w:cs="Arial"/>
                <w:b/>
                <w:color w:val="000000"/>
                <w:sz w:val="22"/>
                <w:szCs w:val="22"/>
              </w:rPr>
            </w:pPr>
            <w:r w:rsidRPr="00CF7AA9">
              <w:rPr>
                <w:rFonts w:ascii="Arial" w:hAnsi="Arial" w:cs="Arial"/>
                <w:b/>
                <w:color w:val="000000"/>
                <w:sz w:val="22"/>
                <w:szCs w:val="22"/>
              </w:rPr>
              <w:t>$3,5</w:t>
            </w:r>
            <w:r w:rsidR="00485415" w:rsidRPr="00CF7AA9">
              <w:rPr>
                <w:rFonts w:ascii="Arial" w:hAnsi="Arial" w:cs="Arial"/>
                <w:b/>
                <w:color w:val="000000"/>
                <w:sz w:val="22"/>
                <w:szCs w:val="22"/>
              </w:rPr>
              <w:t>5</w:t>
            </w:r>
            <w:r w:rsidRPr="00CF7AA9">
              <w:rPr>
                <w:rFonts w:ascii="Arial" w:hAnsi="Arial" w:cs="Arial"/>
                <w:b/>
                <w:color w:val="000000"/>
                <w:sz w:val="22"/>
                <w:szCs w:val="22"/>
              </w:rPr>
              <w:t>5,</w:t>
            </w:r>
            <w:r w:rsidR="001F4F73" w:rsidRPr="00CF7AA9">
              <w:rPr>
                <w:rFonts w:ascii="Arial" w:hAnsi="Arial" w:cs="Arial"/>
                <w:b/>
                <w:color w:val="000000"/>
                <w:sz w:val="22"/>
                <w:szCs w:val="22"/>
              </w:rPr>
              <w:t>060</w:t>
            </w:r>
            <w:r w:rsidRPr="00CF7AA9">
              <w:rPr>
                <w:rFonts w:ascii="Arial" w:hAnsi="Arial" w:cs="Arial"/>
                <w:b/>
                <w:color w:val="000000"/>
                <w:sz w:val="22"/>
                <w:szCs w:val="22"/>
              </w:rPr>
              <w:t>,000</w:t>
            </w:r>
          </w:p>
        </w:tc>
      </w:tr>
    </w:tbl>
    <w:p w14:paraId="2A90882D" w14:textId="77777777" w:rsidR="0000401F" w:rsidRDefault="0000401F" w:rsidP="0000401F">
      <w:pPr>
        <w:spacing w:line="264" w:lineRule="auto"/>
        <w:jc w:val="both"/>
        <w:rPr>
          <w:rFonts w:ascii="Arial" w:hAnsi="Arial" w:cs="Arial"/>
          <w:sz w:val="24"/>
          <w:szCs w:val="24"/>
        </w:rPr>
      </w:pPr>
    </w:p>
    <w:p w14:paraId="3B380BC5" w14:textId="2F571BBC" w:rsidR="00F93D5D" w:rsidRDefault="00F778E1" w:rsidP="0000401F">
      <w:pPr>
        <w:spacing w:line="264" w:lineRule="auto"/>
        <w:contextualSpacing/>
        <w:jc w:val="both"/>
        <w:rPr>
          <w:rFonts w:ascii="Arial" w:hAnsi="Arial" w:cs="Arial"/>
          <w:sz w:val="24"/>
          <w:szCs w:val="24"/>
        </w:rPr>
      </w:pPr>
      <w:r w:rsidRPr="00636C53">
        <w:rPr>
          <w:rFonts w:ascii="Arial" w:hAnsi="Arial" w:cs="Arial"/>
          <w:sz w:val="24"/>
          <w:szCs w:val="24"/>
        </w:rPr>
        <w:t xml:space="preserve">Bonds are repaid by scheduled </w:t>
      </w:r>
      <w:r w:rsidR="003A3699" w:rsidRPr="00636C53">
        <w:rPr>
          <w:rFonts w:ascii="Arial" w:hAnsi="Arial" w:cs="Arial"/>
          <w:sz w:val="24"/>
          <w:szCs w:val="24"/>
        </w:rPr>
        <w:t xml:space="preserve">debt service </w:t>
      </w:r>
      <w:r w:rsidRPr="00636C53">
        <w:rPr>
          <w:rFonts w:ascii="Arial" w:hAnsi="Arial" w:cs="Arial"/>
          <w:sz w:val="24"/>
          <w:szCs w:val="24"/>
        </w:rPr>
        <w:t xml:space="preserve">payments supported by the sewer rate approved annually by Council.  According to information provided with the Council’s consideration of the 2021 sewer rate, total debt service </w:t>
      </w:r>
      <w:r w:rsidR="0000401F">
        <w:rPr>
          <w:rFonts w:ascii="Arial" w:hAnsi="Arial" w:cs="Arial"/>
          <w:sz w:val="24"/>
          <w:szCs w:val="24"/>
        </w:rPr>
        <w:t>payments</w:t>
      </w:r>
      <w:r w:rsidR="0000401F" w:rsidRPr="00636C53">
        <w:rPr>
          <w:rFonts w:ascii="Arial" w:hAnsi="Arial" w:cs="Arial"/>
          <w:sz w:val="24"/>
          <w:szCs w:val="24"/>
        </w:rPr>
        <w:t xml:space="preserve"> </w:t>
      </w:r>
      <w:r w:rsidRPr="00636C53">
        <w:rPr>
          <w:rFonts w:ascii="Arial" w:hAnsi="Arial" w:cs="Arial"/>
          <w:sz w:val="24"/>
          <w:szCs w:val="24"/>
        </w:rPr>
        <w:t xml:space="preserve">for 2020 </w:t>
      </w:r>
      <w:r w:rsidR="0000401F">
        <w:rPr>
          <w:rFonts w:ascii="Arial" w:hAnsi="Arial" w:cs="Arial"/>
          <w:sz w:val="24"/>
          <w:szCs w:val="24"/>
        </w:rPr>
        <w:t>are budgeted at</w:t>
      </w:r>
      <w:r w:rsidR="0000401F" w:rsidRPr="00636C53">
        <w:rPr>
          <w:rFonts w:ascii="Arial" w:hAnsi="Arial" w:cs="Arial"/>
          <w:sz w:val="24"/>
          <w:szCs w:val="24"/>
        </w:rPr>
        <w:t xml:space="preserve"> </w:t>
      </w:r>
      <w:r w:rsidRPr="00636C53">
        <w:rPr>
          <w:rFonts w:ascii="Arial" w:hAnsi="Arial" w:cs="Arial"/>
          <w:sz w:val="24"/>
          <w:szCs w:val="24"/>
        </w:rPr>
        <w:t>$248 million</w:t>
      </w:r>
      <w:r w:rsidR="003A3699" w:rsidRPr="00636C53">
        <w:rPr>
          <w:rFonts w:ascii="Arial" w:hAnsi="Arial" w:cs="Arial"/>
          <w:sz w:val="24"/>
          <w:szCs w:val="24"/>
        </w:rPr>
        <w:t>.</w:t>
      </w:r>
    </w:p>
    <w:p w14:paraId="3BCFC627" w14:textId="77777777" w:rsidR="00F93D5D" w:rsidRPr="00636C53" w:rsidRDefault="00F93D5D" w:rsidP="0000401F">
      <w:pPr>
        <w:spacing w:line="264" w:lineRule="auto"/>
        <w:contextualSpacing/>
        <w:jc w:val="both"/>
        <w:rPr>
          <w:rFonts w:ascii="Arial" w:hAnsi="Arial" w:cs="Arial"/>
          <w:sz w:val="24"/>
          <w:szCs w:val="24"/>
        </w:rPr>
      </w:pPr>
    </w:p>
    <w:p w14:paraId="1C760661" w14:textId="70285D6E" w:rsidR="00F855F6" w:rsidRPr="00636C53" w:rsidRDefault="00F855F6" w:rsidP="0000401F">
      <w:pPr>
        <w:spacing w:line="264" w:lineRule="auto"/>
        <w:jc w:val="both"/>
        <w:rPr>
          <w:rFonts w:ascii="Arial" w:hAnsi="Arial" w:cs="Arial"/>
          <w:b/>
          <w:smallCaps/>
          <w:sz w:val="24"/>
          <w:szCs w:val="24"/>
          <w:u w:val="single"/>
        </w:rPr>
      </w:pPr>
      <w:r w:rsidRPr="00636C53">
        <w:rPr>
          <w:rFonts w:ascii="Arial" w:hAnsi="Arial" w:cs="Arial"/>
          <w:b/>
          <w:smallCaps/>
          <w:sz w:val="24"/>
          <w:szCs w:val="24"/>
          <w:u w:val="single"/>
        </w:rPr>
        <w:t>ANALYSIS</w:t>
      </w:r>
    </w:p>
    <w:p w14:paraId="00AD9B5B" w14:textId="0D7A672D" w:rsidR="00F778E1" w:rsidRPr="00636C53" w:rsidRDefault="00F778E1" w:rsidP="0000401F">
      <w:pPr>
        <w:spacing w:line="264" w:lineRule="auto"/>
        <w:jc w:val="both"/>
        <w:rPr>
          <w:rFonts w:ascii="Arial" w:hAnsi="Arial" w:cs="Arial"/>
          <w:sz w:val="24"/>
          <w:szCs w:val="24"/>
        </w:rPr>
      </w:pPr>
      <w:r w:rsidRPr="00636C53">
        <w:rPr>
          <w:rFonts w:ascii="Arial" w:hAnsi="Arial" w:cs="Arial"/>
          <w:sz w:val="24"/>
          <w:szCs w:val="24"/>
        </w:rPr>
        <w:t xml:space="preserve">Proposed Ordinance 2021-0389 </w:t>
      </w:r>
      <w:r w:rsidR="0000401F">
        <w:rPr>
          <w:rFonts w:ascii="Arial" w:hAnsi="Arial" w:cs="Arial"/>
          <w:sz w:val="24"/>
          <w:szCs w:val="24"/>
        </w:rPr>
        <w:t xml:space="preserve">would </w:t>
      </w:r>
      <w:r w:rsidRPr="00636C53">
        <w:rPr>
          <w:rFonts w:ascii="Arial" w:hAnsi="Arial" w:cs="Arial"/>
          <w:sz w:val="24"/>
          <w:szCs w:val="24"/>
        </w:rPr>
        <w:t xml:space="preserve">authorize the issuance of </w:t>
      </w:r>
      <w:r w:rsidR="0000401F" w:rsidRPr="00636C53">
        <w:rPr>
          <w:rFonts w:ascii="Arial" w:hAnsi="Arial" w:cs="Arial"/>
          <w:sz w:val="24"/>
          <w:szCs w:val="24"/>
        </w:rPr>
        <w:t xml:space="preserve">up to an aggregate principal amount </w:t>
      </w:r>
      <w:r w:rsidR="0000401F">
        <w:rPr>
          <w:rFonts w:ascii="Arial" w:hAnsi="Arial" w:cs="Arial"/>
          <w:sz w:val="24"/>
          <w:szCs w:val="24"/>
        </w:rPr>
        <w:t xml:space="preserve">of </w:t>
      </w:r>
      <w:r w:rsidRPr="00636C53">
        <w:rPr>
          <w:rFonts w:ascii="Arial" w:hAnsi="Arial" w:cs="Arial"/>
          <w:sz w:val="24"/>
          <w:szCs w:val="24"/>
        </w:rPr>
        <w:t>$905,000,000</w:t>
      </w:r>
      <w:r w:rsidR="00885B8D" w:rsidRPr="00636C53">
        <w:rPr>
          <w:rFonts w:ascii="Arial" w:hAnsi="Arial" w:cs="Arial"/>
          <w:sz w:val="24"/>
          <w:szCs w:val="24"/>
        </w:rPr>
        <w:t xml:space="preserve"> in </w:t>
      </w:r>
      <w:r w:rsidR="0000401F">
        <w:rPr>
          <w:rFonts w:ascii="Arial" w:hAnsi="Arial" w:cs="Arial"/>
          <w:sz w:val="24"/>
          <w:szCs w:val="24"/>
        </w:rPr>
        <w:t>bonds through 2025</w:t>
      </w:r>
      <w:r w:rsidR="002C592D" w:rsidRPr="00636C53">
        <w:rPr>
          <w:rFonts w:ascii="Arial" w:hAnsi="Arial" w:cs="Arial"/>
          <w:sz w:val="24"/>
          <w:szCs w:val="24"/>
        </w:rPr>
        <w:t xml:space="preserve"> for wastewater capital purposes</w:t>
      </w:r>
      <w:r w:rsidR="00885B8D" w:rsidRPr="00636C53">
        <w:rPr>
          <w:rFonts w:ascii="Arial" w:hAnsi="Arial" w:cs="Arial"/>
          <w:sz w:val="24"/>
          <w:szCs w:val="24"/>
        </w:rPr>
        <w:t xml:space="preserve">.  This debt can be sold either as sewer revenue bonds, to be repaid exclusively through sewer rate revenues, or “double barrel” limited tax general obligation bonds, which obligate sewer rate revenues as the primary repayment source, but also pledge the full faith and credit of the county’s General Fund for additional bond-buyer security.  </w:t>
      </w:r>
    </w:p>
    <w:p w14:paraId="08B779C9" w14:textId="0A02142D" w:rsidR="005723A8" w:rsidRPr="00636C53" w:rsidRDefault="00830B6E" w:rsidP="00636C53">
      <w:pPr>
        <w:keepNext/>
        <w:spacing w:line="264" w:lineRule="auto"/>
        <w:jc w:val="both"/>
        <w:rPr>
          <w:rFonts w:ascii="Arial" w:hAnsi="Arial" w:cs="Arial"/>
          <w:sz w:val="24"/>
          <w:szCs w:val="24"/>
        </w:rPr>
      </w:pPr>
      <w:r w:rsidRPr="00636C53">
        <w:rPr>
          <w:rFonts w:ascii="Arial" w:hAnsi="Arial" w:cs="Arial"/>
          <w:sz w:val="24"/>
          <w:szCs w:val="24"/>
        </w:rPr>
        <w:t xml:space="preserve">Revenues from these bond sales can be used to pay for needed improvements to the wastewater capital plant, as </w:t>
      </w:r>
      <w:r w:rsidR="00400DE9">
        <w:rPr>
          <w:rFonts w:ascii="Arial" w:hAnsi="Arial" w:cs="Arial"/>
          <w:sz w:val="24"/>
          <w:szCs w:val="24"/>
        </w:rPr>
        <w:t>planned through</w:t>
      </w:r>
      <w:r w:rsidR="00400DE9" w:rsidRPr="00636C53">
        <w:rPr>
          <w:rFonts w:ascii="Arial" w:hAnsi="Arial" w:cs="Arial"/>
          <w:sz w:val="24"/>
          <w:szCs w:val="24"/>
        </w:rPr>
        <w:t xml:space="preserve"> </w:t>
      </w:r>
      <w:r w:rsidRPr="00636C53">
        <w:rPr>
          <w:rFonts w:ascii="Arial" w:hAnsi="Arial" w:cs="Arial"/>
          <w:sz w:val="24"/>
          <w:szCs w:val="24"/>
        </w:rPr>
        <w:t>the Council-approved capital budget</w:t>
      </w:r>
      <w:r w:rsidR="004507EB" w:rsidRPr="00636C53">
        <w:rPr>
          <w:rFonts w:ascii="Arial" w:hAnsi="Arial" w:cs="Arial"/>
          <w:sz w:val="24"/>
          <w:szCs w:val="24"/>
        </w:rPr>
        <w:t>.  Proposed Ordinance 2021-0389 provides that</w:t>
      </w:r>
      <w:r w:rsidRPr="00636C53">
        <w:rPr>
          <w:rFonts w:ascii="Arial" w:hAnsi="Arial" w:cs="Arial"/>
          <w:sz w:val="24"/>
          <w:szCs w:val="24"/>
        </w:rPr>
        <w:t xml:space="preserve"> those revenues can also be used, under </w:t>
      </w:r>
      <w:r w:rsidRPr="00636C53">
        <w:rPr>
          <w:rFonts w:ascii="Arial" w:hAnsi="Arial" w:cs="Arial"/>
          <w:sz w:val="24"/>
          <w:szCs w:val="24"/>
        </w:rPr>
        <w:lastRenderedPageBreak/>
        <w:t xml:space="preserve">appropriate circumstances, to “refund” existing debt.  As noted above, the agency has over $3.5 billion in outstanding debt obligations, issued in various increments over the last decade.  Some of that debt may be carrying higher interest rates than are available either currently or in the future, creating an opportunity for savings.  Current debt management policy </w:t>
      </w:r>
      <w:r w:rsidR="004507EB" w:rsidRPr="00636C53">
        <w:rPr>
          <w:rFonts w:ascii="Arial" w:hAnsi="Arial" w:cs="Arial"/>
          <w:sz w:val="24"/>
          <w:szCs w:val="24"/>
        </w:rPr>
        <w:t xml:space="preserve">authorizes replacing existing debt with new debt, or “refunding” debt, when </w:t>
      </w:r>
      <w:r w:rsidR="006941ED" w:rsidRPr="00636C53">
        <w:rPr>
          <w:rFonts w:ascii="Arial" w:hAnsi="Arial" w:cs="Arial"/>
          <w:sz w:val="24"/>
          <w:szCs w:val="24"/>
        </w:rPr>
        <w:t>sufficient savings</w:t>
      </w:r>
      <w:r w:rsidR="004507EB" w:rsidRPr="00636C53">
        <w:rPr>
          <w:rFonts w:ascii="Arial" w:hAnsi="Arial" w:cs="Arial"/>
          <w:sz w:val="24"/>
          <w:szCs w:val="24"/>
        </w:rPr>
        <w:t xml:space="preserve"> can be realized.  This authorization of $905,000,000 will provide revenue to support refunding certain debt issuances, contingent upon available rates.   </w:t>
      </w:r>
    </w:p>
    <w:p w14:paraId="75125DF0" w14:textId="2DFC8A21" w:rsidR="00586064" w:rsidRPr="00636C53" w:rsidRDefault="004507EB" w:rsidP="00636C53">
      <w:pPr>
        <w:keepNext/>
        <w:spacing w:line="264" w:lineRule="auto"/>
        <w:jc w:val="both"/>
        <w:rPr>
          <w:rFonts w:ascii="Arial" w:hAnsi="Arial" w:cs="Arial"/>
          <w:sz w:val="24"/>
          <w:szCs w:val="24"/>
        </w:rPr>
      </w:pPr>
      <w:r w:rsidRPr="00636C53">
        <w:rPr>
          <w:rFonts w:ascii="Arial" w:hAnsi="Arial" w:cs="Arial"/>
          <w:sz w:val="24"/>
          <w:szCs w:val="24"/>
        </w:rPr>
        <w:t>Th</w:t>
      </w:r>
      <w:r w:rsidR="00400DE9">
        <w:rPr>
          <w:rFonts w:ascii="Arial" w:hAnsi="Arial" w:cs="Arial"/>
          <w:sz w:val="24"/>
          <w:szCs w:val="24"/>
        </w:rPr>
        <w:t xml:space="preserve">e proposed ordinance would </w:t>
      </w:r>
      <w:r w:rsidRPr="00636C53">
        <w:rPr>
          <w:rFonts w:ascii="Arial" w:hAnsi="Arial" w:cs="Arial"/>
          <w:sz w:val="24"/>
          <w:szCs w:val="24"/>
        </w:rPr>
        <w:t xml:space="preserve">also grant additional authority to the Finance Director in the process of bond sales.  As noted above, historically </w:t>
      </w:r>
      <w:r w:rsidR="00586064" w:rsidRPr="00636C53">
        <w:rPr>
          <w:rFonts w:ascii="Arial" w:hAnsi="Arial" w:cs="Arial"/>
          <w:sz w:val="24"/>
          <w:szCs w:val="24"/>
        </w:rPr>
        <w:t xml:space="preserve">the Council has been asked to approve a sale motion agreement on a bond sale with a prospective buyer; the sale motion has specified the amount of the sale, the buyer, the interest rate, and other terms.  Proposed Ordinance 2021-0389 notes that </w:t>
      </w:r>
    </w:p>
    <w:p w14:paraId="1DAF0D8F" w14:textId="12715C10" w:rsidR="00586064" w:rsidRPr="00636C53" w:rsidRDefault="00586064" w:rsidP="00F93D5D">
      <w:pPr>
        <w:spacing w:line="264" w:lineRule="auto"/>
        <w:ind w:left="720"/>
        <w:jc w:val="both"/>
        <w:rPr>
          <w:rFonts w:ascii="Arial" w:hAnsi="Arial" w:cs="Arial"/>
          <w:i/>
          <w:iCs/>
          <w:sz w:val="24"/>
          <w:szCs w:val="24"/>
        </w:rPr>
      </w:pPr>
      <w:r w:rsidRPr="00636C53">
        <w:rPr>
          <w:rFonts w:ascii="Arial" w:hAnsi="Arial" w:cs="Arial"/>
          <w:i/>
          <w:iCs/>
          <w:sz w:val="24"/>
          <w:szCs w:val="24"/>
        </w:rPr>
        <w:tab/>
        <w:t xml:space="preserve">“…because conditions in the capital market are volatile, the council finds that it is in the best interests of the county and ratepayers of the system that the county retain the flexibility </w:t>
      </w:r>
      <w:r w:rsidR="00330019" w:rsidRPr="00636C53">
        <w:rPr>
          <w:rFonts w:ascii="Arial" w:hAnsi="Arial" w:cs="Arial"/>
          <w:i/>
          <w:iCs/>
          <w:sz w:val="24"/>
          <w:szCs w:val="24"/>
        </w:rPr>
        <w:t xml:space="preserve">to issue the bonds in one or more series, as Parity Bonds or Parity Lien Obligations, to maximize interest rate savings and, where possible, </w:t>
      </w:r>
      <w:r w:rsidR="00E51A20" w:rsidRPr="00636C53">
        <w:rPr>
          <w:rFonts w:ascii="Arial" w:hAnsi="Arial" w:cs="Arial"/>
          <w:i/>
          <w:iCs/>
          <w:sz w:val="24"/>
          <w:szCs w:val="24"/>
        </w:rPr>
        <w:t>to achieve further savings by refunding all or some of the Refunding Candidates.  To achieve this flexibility, the Council further finds that it is in the best interest of the county and ratepayers of the System to delegate to the Finance Director the authority to sell the bonds in one or more series, as Parity Bonds, Parity Lien Obligations, as Tax-exempt obligations, Tax-Advantaged, Obligations or Taxable Obligations, by competitive bid or negotiated s</w:t>
      </w:r>
      <w:r w:rsidR="009B4176" w:rsidRPr="00636C53">
        <w:rPr>
          <w:rFonts w:ascii="Arial" w:hAnsi="Arial" w:cs="Arial"/>
          <w:i/>
          <w:iCs/>
          <w:sz w:val="24"/>
          <w:szCs w:val="24"/>
        </w:rPr>
        <w:t>a</w:t>
      </w:r>
      <w:r w:rsidR="00E51A20" w:rsidRPr="00636C53">
        <w:rPr>
          <w:rFonts w:ascii="Arial" w:hAnsi="Arial" w:cs="Arial"/>
          <w:i/>
          <w:iCs/>
          <w:sz w:val="24"/>
          <w:szCs w:val="24"/>
        </w:rPr>
        <w:t xml:space="preserve">le, or to the federal government or another purchaser, for current or future delivery, and to identify any Refunding Candidates to be refunded, in consultation with the county’s financial advisors.”  </w:t>
      </w:r>
    </w:p>
    <w:p w14:paraId="5119BEDD" w14:textId="490F115E" w:rsidR="00D74050" w:rsidRPr="00636C53" w:rsidRDefault="00BF35FC" w:rsidP="00F93D5D">
      <w:pPr>
        <w:spacing w:line="264" w:lineRule="auto"/>
        <w:jc w:val="both"/>
        <w:rPr>
          <w:rFonts w:ascii="Arial" w:hAnsi="Arial" w:cs="Arial"/>
          <w:sz w:val="24"/>
          <w:szCs w:val="24"/>
        </w:rPr>
      </w:pPr>
      <w:r w:rsidRPr="00636C53">
        <w:rPr>
          <w:rFonts w:ascii="Arial" w:hAnsi="Arial" w:cs="Arial"/>
          <w:sz w:val="24"/>
          <w:szCs w:val="24"/>
        </w:rPr>
        <w:t xml:space="preserve">The Finance Director is required to report the sale of any bond series on an annual basis, as part of the annual report to the Council and the Executive Finance Committee.  The report is to be transmitted by March 31 of each year.  This reporting requirement expires three years after the effective date of the </w:t>
      </w:r>
      <w:r w:rsidR="00400DE9">
        <w:rPr>
          <w:rFonts w:ascii="Arial" w:hAnsi="Arial" w:cs="Arial"/>
          <w:sz w:val="24"/>
          <w:szCs w:val="24"/>
        </w:rPr>
        <w:t xml:space="preserve">proposed </w:t>
      </w:r>
      <w:r w:rsidRPr="00636C53">
        <w:rPr>
          <w:rFonts w:ascii="Arial" w:hAnsi="Arial" w:cs="Arial"/>
          <w:sz w:val="24"/>
          <w:szCs w:val="24"/>
        </w:rPr>
        <w:t xml:space="preserve">ordinance.  </w:t>
      </w:r>
    </w:p>
    <w:p w14:paraId="019BD313" w14:textId="2F16A771" w:rsidR="007B1B61" w:rsidRPr="00636C53" w:rsidRDefault="00DA540A" w:rsidP="00F93D5D">
      <w:pPr>
        <w:spacing w:line="264" w:lineRule="auto"/>
        <w:jc w:val="both"/>
        <w:rPr>
          <w:rFonts w:ascii="Arial" w:hAnsi="Arial" w:cs="Arial"/>
          <w:sz w:val="24"/>
          <w:szCs w:val="24"/>
        </w:rPr>
      </w:pPr>
      <w:r w:rsidRPr="009262A2">
        <w:rPr>
          <w:rFonts w:ascii="Arial" w:hAnsi="Arial" w:cs="Arial"/>
          <w:b/>
          <w:bCs/>
          <w:sz w:val="24"/>
          <w:szCs w:val="24"/>
        </w:rPr>
        <w:t>Legal Consultation</w:t>
      </w:r>
      <w:r w:rsidR="00CF7AA9">
        <w:rPr>
          <w:rFonts w:ascii="Arial" w:hAnsi="Arial" w:cs="Arial"/>
          <w:b/>
          <w:bCs/>
          <w:sz w:val="24"/>
          <w:szCs w:val="24"/>
        </w:rPr>
        <w:t>.</w:t>
      </w:r>
      <w:r w:rsidR="00CF7AA9">
        <w:rPr>
          <w:rFonts w:ascii="Arial" w:hAnsi="Arial" w:cs="Arial"/>
          <w:sz w:val="24"/>
          <w:szCs w:val="24"/>
        </w:rPr>
        <w:t xml:space="preserve">  </w:t>
      </w:r>
      <w:r w:rsidR="007B1B61" w:rsidRPr="00636C53">
        <w:rPr>
          <w:rFonts w:ascii="Arial" w:hAnsi="Arial" w:cs="Arial"/>
          <w:sz w:val="24"/>
          <w:szCs w:val="24"/>
        </w:rPr>
        <w:t>This legislation was prepared</w:t>
      </w:r>
      <w:r w:rsidR="00F12FE3" w:rsidRPr="00636C53">
        <w:rPr>
          <w:rFonts w:ascii="Arial" w:hAnsi="Arial" w:cs="Arial"/>
          <w:sz w:val="24"/>
          <w:szCs w:val="24"/>
        </w:rPr>
        <w:t xml:space="preserve"> by the Executive</w:t>
      </w:r>
      <w:r w:rsidR="007B1B61" w:rsidRPr="00636C53">
        <w:rPr>
          <w:rFonts w:ascii="Arial" w:hAnsi="Arial" w:cs="Arial"/>
          <w:sz w:val="24"/>
          <w:szCs w:val="24"/>
        </w:rPr>
        <w:t xml:space="preserve"> in consultation with </w:t>
      </w:r>
      <w:r w:rsidR="00F12FE3" w:rsidRPr="00636C53">
        <w:rPr>
          <w:rFonts w:ascii="Arial" w:hAnsi="Arial" w:cs="Arial"/>
          <w:sz w:val="24"/>
          <w:szCs w:val="24"/>
        </w:rPr>
        <w:t xml:space="preserve">the </w:t>
      </w:r>
      <w:r w:rsidR="00F306B5" w:rsidRPr="00636C53">
        <w:rPr>
          <w:rFonts w:ascii="Arial" w:hAnsi="Arial" w:cs="Arial"/>
          <w:sz w:val="24"/>
          <w:szCs w:val="24"/>
        </w:rPr>
        <w:t>c</w:t>
      </w:r>
      <w:r w:rsidR="00F12FE3" w:rsidRPr="00636C53">
        <w:rPr>
          <w:rFonts w:ascii="Arial" w:hAnsi="Arial" w:cs="Arial"/>
          <w:sz w:val="24"/>
          <w:szCs w:val="24"/>
        </w:rPr>
        <w:t xml:space="preserve">ounty’s </w:t>
      </w:r>
      <w:r w:rsidR="00530A27" w:rsidRPr="00636C53">
        <w:rPr>
          <w:rFonts w:ascii="Arial" w:hAnsi="Arial" w:cs="Arial"/>
          <w:sz w:val="24"/>
          <w:szCs w:val="24"/>
        </w:rPr>
        <w:t>Bond Counsel, working through the Finance and Business Operations Division</w:t>
      </w:r>
      <w:r w:rsidR="00F306B5" w:rsidRPr="00636C53">
        <w:rPr>
          <w:rFonts w:ascii="Arial" w:hAnsi="Arial" w:cs="Arial"/>
          <w:sz w:val="24"/>
          <w:szCs w:val="24"/>
        </w:rPr>
        <w:t>.</w:t>
      </w:r>
    </w:p>
    <w:p w14:paraId="4586CBFE" w14:textId="544DFD1C" w:rsidR="00E96219" w:rsidRDefault="00A56AE8" w:rsidP="00F93D5D">
      <w:pPr>
        <w:spacing w:line="264" w:lineRule="auto"/>
        <w:jc w:val="both"/>
        <w:rPr>
          <w:rFonts w:ascii="Arial" w:hAnsi="Arial" w:cs="Arial"/>
          <w:sz w:val="24"/>
          <w:szCs w:val="24"/>
        </w:rPr>
      </w:pPr>
      <w:r w:rsidRPr="009262A2">
        <w:rPr>
          <w:rFonts w:ascii="Arial" w:hAnsi="Arial" w:cs="Arial"/>
          <w:b/>
          <w:bCs/>
          <w:sz w:val="24"/>
          <w:szCs w:val="24"/>
        </w:rPr>
        <w:t>F</w:t>
      </w:r>
      <w:r w:rsidR="00E96219" w:rsidRPr="009262A2">
        <w:rPr>
          <w:rFonts w:ascii="Arial" w:hAnsi="Arial" w:cs="Arial"/>
          <w:b/>
          <w:bCs/>
          <w:sz w:val="24"/>
          <w:szCs w:val="24"/>
        </w:rPr>
        <w:t>iscal Impact</w:t>
      </w:r>
      <w:r w:rsidR="00CF7AA9">
        <w:rPr>
          <w:rFonts w:ascii="Arial" w:hAnsi="Arial" w:cs="Arial"/>
          <w:b/>
          <w:bCs/>
          <w:sz w:val="24"/>
          <w:szCs w:val="24"/>
        </w:rPr>
        <w:t>.</w:t>
      </w:r>
      <w:r w:rsidR="00CF7AA9">
        <w:rPr>
          <w:rFonts w:ascii="Arial" w:hAnsi="Arial" w:cs="Arial"/>
          <w:sz w:val="24"/>
          <w:szCs w:val="24"/>
        </w:rPr>
        <w:t xml:space="preserve">  </w:t>
      </w:r>
      <w:r w:rsidR="00E96219" w:rsidRPr="00636C53">
        <w:rPr>
          <w:rFonts w:ascii="Arial" w:hAnsi="Arial" w:cs="Arial"/>
          <w:sz w:val="24"/>
          <w:szCs w:val="24"/>
        </w:rPr>
        <w:t>The attached Fiscal Note indicates</w:t>
      </w:r>
      <w:r w:rsidR="00040068" w:rsidRPr="00636C53">
        <w:rPr>
          <w:rFonts w:ascii="Arial" w:hAnsi="Arial" w:cs="Arial"/>
          <w:sz w:val="24"/>
          <w:szCs w:val="24"/>
        </w:rPr>
        <w:t xml:space="preserve"> impacts resulting from this legislation of </w:t>
      </w:r>
      <w:r w:rsidR="007A2407" w:rsidRPr="00636C53">
        <w:rPr>
          <w:rFonts w:ascii="Arial" w:hAnsi="Arial" w:cs="Arial"/>
          <w:sz w:val="24"/>
          <w:szCs w:val="24"/>
        </w:rPr>
        <w:t>$6,265,658 in 2021-2022, and $70,439,</w:t>
      </w:r>
      <w:r w:rsidR="003260CC" w:rsidRPr="00636C53">
        <w:rPr>
          <w:rFonts w:ascii="Arial" w:hAnsi="Arial" w:cs="Arial"/>
          <w:sz w:val="24"/>
          <w:szCs w:val="24"/>
        </w:rPr>
        <w:t>084 in 2023-2024.</w:t>
      </w:r>
      <w:r w:rsidR="00D27B3B" w:rsidRPr="00636C53">
        <w:rPr>
          <w:rFonts w:ascii="Arial" w:hAnsi="Arial" w:cs="Arial"/>
          <w:sz w:val="24"/>
          <w:szCs w:val="24"/>
        </w:rPr>
        <w:t xml:space="preserve">  These </w:t>
      </w:r>
      <w:r w:rsidR="00F93D5D">
        <w:rPr>
          <w:rFonts w:ascii="Arial" w:hAnsi="Arial" w:cs="Arial"/>
          <w:sz w:val="24"/>
          <w:szCs w:val="24"/>
        </w:rPr>
        <w:t>would be</w:t>
      </w:r>
      <w:r w:rsidR="00D27B3B" w:rsidRPr="00636C53">
        <w:rPr>
          <w:rFonts w:ascii="Arial" w:hAnsi="Arial" w:cs="Arial"/>
          <w:sz w:val="24"/>
          <w:szCs w:val="24"/>
        </w:rPr>
        <w:t xml:space="preserve"> debt service </w:t>
      </w:r>
      <w:r w:rsidR="00CF7AA9">
        <w:rPr>
          <w:rFonts w:ascii="Arial" w:hAnsi="Arial" w:cs="Arial"/>
          <w:sz w:val="24"/>
          <w:szCs w:val="24"/>
        </w:rPr>
        <w:t>payments</w:t>
      </w:r>
      <w:r w:rsidR="00E53B61" w:rsidRPr="00636C53">
        <w:rPr>
          <w:rFonts w:ascii="Arial" w:hAnsi="Arial" w:cs="Arial"/>
          <w:sz w:val="24"/>
          <w:szCs w:val="24"/>
        </w:rPr>
        <w:t>.</w:t>
      </w:r>
    </w:p>
    <w:p w14:paraId="4EF4057F" w14:textId="0283A950" w:rsidR="00F93D5D" w:rsidRDefault="00F93D5D" w:rsidP="00F93D5D">
      <w:pPr>
        <w:spacing w:line="264" w:lineRule="auto"/>
        <w:jc w:val="both"/>
        <w:rPr>
          <w:rFonts w:ascii="Arial" w:hAnsi="Arial" w:cs="Arial"/>
          <w:sz w:val="24"/>
          <w:szCs w:val="24"/>
        </w:rPr>
      </w:pPr>
    </w:p>
    <w:p w14:paraId="592CB754" w14:textId="24E786FA" w:rsidR="00F93D5D" w:rsidRDefault="00F93D5D" w:rsidP="00F93D5D">
      <w:pPr>
        <w:spacing w:line="264" w:lineRule="auto"/>
        <w:jc w:val="both"/>
        <w:rPr>
          <w:rFonts w:ascii="Arial" w:hAnsi="Arial" w:cs="Arial"/>
          <w:sz w:val="24"/>
          <w:szCs w:val="24"/>
        </w:rPr>
      </w:pPr>
    </w:p>
    <w:p w14:paraId="6131F97D" w14:textId="77777777" w:rsidR="00F93D5D" w:rsidRDefault="00F93D5D" w:rsidP="00F93D5D">
      <w:pPr>
        <w:spacing w:line="264" w:lineRule="auto"/>
        <w:jc w:val="both"/>
        <w:rPr>
          <w:rFonts w:ascii="Arial" w:hAnsi="Arial" w:cs="Arial"/>
          <w:sz w:val="24"/>
          <w:szCs w:val="24"/>
        </w:rPr>
      </w:pPr>
    </w:p>
    <w:p w14:paraId="2334BA1D" w14:textId="77777777" w:rsidR="00F93D5D" w:rsidRDefault="00F93D5D" w:rsidP="00F93D5D">
      <w:pPr>
        <w:spacing w:line="264" w:lineRule="auto"/>
        <w:jc w:val="both"/>
        <w:rPr>
          <w:rFonts w:ascii="Arial" w:hAnsi="Arial" w:cs="Arial"/>
          <w:sz w:val="24"/>
          <w:szCs w:val="24"/>
        </w:rPr>
      </w:pPr>
    </w:p>
    <w:p w14:paraId="2C1194A9" w14:textId="77777777" w:rsidR="00F93D5D" w:rsidRDefault="00F93D5D" w:rsidP="00F93D5D">
      <w:pPr>
        <w:spacing w:line="264" w:lineRule="auto"/>
        <w:jc w:val="both"/>
        <w:rPr>
          <w:rFonts w:ascii="Arial" w:hAnsi="Arial" w:cs="Arial"/>
          <w:b/>
          <w:sz w:val="24"/>
          <w:szCs w:val="24"/>
          <w:u w:val="single"/>
        </w:rPr>
      </w:pPr>
    </w:p>
    <w:p w14:paraId="7BBF3BD7" w14:textId="6AE69C93" w:rsidR="00D74050" w:rsidRPr="00636C53" w:rsidRDefault="00D74050" w:rsidP="00F93D5D">
      <w:pPr>
        <w:spacing w:line="264" w:lineRule="auto"/>
        <w:jc w:val="both"/>
        <w:rPr>
          <w:rFonts w:ascii="Arial" w:hAnsi="Arial" w:cs="Arial"/>
          <w:b/>
          <w:sz w:val="24"/>
          <w:szCs w:val="24"/>
          <w:u w:val="single"/>
        </w:rPr>
      </w:pPr>
      <w:r w:rsidRPr="00636C53">
        <w:rPr>
          <w:rFonts w:ascii="Arial" w:hAnsi="Arial" w:cs="Arial"/>
          <w:b/>
          <w:sz w:val="24"/>
          <w:szCs w:val="24"/>
          <w:u w:val="single"/>
        </w:rPr>
        <w:lastRenderedPageBreak/>
        <w:t>INVITED</w:t>
      </w:r>
    </w:p>
    <w:p w14:paraId="3C9D7821" w14:textId="77777777" w:rsidR="00662EDD" w:rsidRDefault="00662EDD" w:rsidP="00F93D5D">
      <w:pPr>
        <w:pStyle w:val="ListParagraph"/>
        <w:numPr>
          <w:ilvl w:val="0"/>
          <w:numId w:val="1"/>
        </w:numPr>
        <w:spacing w:line="264" w:lineRule="auto"/>
        <w:jc w:val="both"/>
        <w:rPr>
          <w:rFonts w:ascii="Arial" w:hAnsi="Arial" w:cs="Arial"/>
        </w:rPr>
      </w:pPr>
      <w:r>
        <w:rPr>
          <w:rFonts w:ascii="Arial" w:hAnsi="Arial" w:cs="Arial"/>
        </w:rPr>
        <w:t>Ken Guy, Director, Finance and Business Operations Division</w:t>
      </w:r>
    </w:p>
    <w:p w14:paraId="00166482" w14:textId="77777777" w:rsidR="00662EDD" w:rsidRDefault="00662EDD" w:rsidP="00F93D5D">
      <w:pPr>
        <w:pStyle w:val="ListParagraph"/>
        <w:numPr>
          <w:ilvl w:val="0"/>
          <w:numId w:val="1"/>
        </w:numPr>
        <w:spacing w:line="264" w:lineRule="auto"/>
        <w:jc w:val="both"/>
        <w:rPr>
          <w:rFonts w:ascii="Arial" w:hAnsi="Arial" w:cs="Arial"/>
        </w:rPr>
      </w:pPr>
      <w:r>
        <w:rPr>
          <w:rFonts w:ascii="Arial" w:hAnsi="Arial" w:cs="Arial"/>
        </w:rPr>
        <w:t>Nigel Lewis, Senior Debt Analyst,</w:t>
      </w:r>
      <w:r w:rsidRPr="00F25A07">
        <w:rPr>
          <w:rFonts w:ascii="Arial" w:hAnsi="Arial" w:cs="Arial"/>
        </w:rPr>
        <w:t xml:space="preserve"> </w:t>
      </w:r>
      <w:r>
        <w:rPr>
          <w:rFonts w:ascii="Arial" w:hAnsi="Arial" w:cs="Arial"/>
        </w:rPr>
        <w:t>Finance and Business Operations Division</w:t>
      </w:r>
    </w:p>
    <w:p w14:paraId="761A6C85" w14:textId="77777777" w:rsidR="00662EDD" w:rsidRPr="00662EDD" w:rsidRDefault="00662EDD" w:rsidP="00F93D5D">
      <w:pPr>
        <w:numPr>
          <w:ilvl w:val="0"/>
          <w:numId w:val="1"/>
        </w:numPr>
        <w:spacing w:after="0" w:line="240" w:lineRule="auto"/>
        <w:rPr>
          <w:rFonts w:ascii="Arial" w:hAnsi="Arial" w:cs="Arial"/>
          <w:sz w:val="24"/>
          <w:szCs w:val="24"/>
        </w:rPr>
      </w:pPr>
      <w:r w:rsidRPr="00662EDD">
        <w:rPr>
          <w:rFonts w:ascii="Arial" w:hAnsi="Arial" w:cs="Arial"/>
          <w:sz w:val="24"/>
          <w:szCs w:val="24"/>
        </w:rPr>
        <w:t>Courtney Black, Rates, Capital and Debt Management Supervisor, Wastewater Treatment Division</w:t>
      </w:r>
    </w:p>
    <w:p w14:paraId="6EC22B57" w14:textId="5F0447DA" w:rsidR="00662EDD" w:rsidRDefault="00662EDD" w:rsidP="00662EDD">
      <w:pPr>
        <w:pStyle w:val="ListParagraph"/>
        <w:numPr>
          <w:ilvl w:val="0"/>
          <w:numId w:val="1"/>
        </w:numPr>
        <w:spacing w:line="264" w:lineRule="auto"/>
        <w:jc w:val="both"/>
        <w:rPr>
          <w:rFonts w:ascii="Arial" w:hAnsi="Arial" w:cs="Arial"/>
        </w:rPr>
      </w:pPr>
      <w:r>
        <w:rPr>
          <w:rFonts w:ascii="Arial" w:hAnsi="Arial" w:cs="Arial"/>
        </w:rPr>
        <w:t xml:space="preserve">Rob Shelley, </w:t>
      </w:r>
      <w:r w:rsidRPr="00F10F44">
        <w:rPr>
          <w:rFonts w:ascii="Arial" w:hAnsi="Arial" w:cs="Arial"/>
        </w:rPr>
        <w:t>Managing Director</w:t>
      </w:r>
      <w:r>
        <w:rPr>
          <w:rFonts w:ascii="Arial" w:hAnsi="Arial" w:cs="Arial"/>
        </w:rPr>
        <w:t>, Piper Jaffray (Financial Advisor to the County)</w:t>
      </w:r>
    </w:p>
    <w:p w14:paraId="42456BC2" w14:textId="6DC7D5C4" w:rsidR="00662EDD" w:rsidRPr="000007F1" w:rsidRDefault="00662EDD" w:rsidP="00662EDD">
      <w:pPr>
        <w:pStyle w:val="ListParagraph"/>
        <w:numPr>
          <w:ilvl w:val="0"/>
          <w:numId w:val="1"/>
        </w:numPr>
        <w:spacing w:line="264" w:lineRule="auto"/>
        <w:jc w:val="both"/>
        <w:rPr>
          <w:rFonts w:ascii="Arial" w:hAnsi="Arial" w:cs="Arial"/>
        </w:rPr>
      </w:pPr>
      <w:r>
        <w:rPr>
          <w:rFonts w:ascii="Arial" w:hAnsi="Arial" w:cs="Arial"/>
        </w:rPr>
        <w:t>Carol Basile, Chief Treasury Officer, Department of Executive Services</w:t>
      </w:r>
    </w:p>
    <w:p w14:paraId="1B5294EC" w14:textId="77777777" w:rsidR="00D74050" w:rsidRDefault="00D74050" w:rsidP="00636C53">
      <w:pPr>
        <w:pStyle w:val="BodyText"/>
        <w:spacing w:line="264" w:lineRule="auto"/>
        <w:jc w:val="both"/>
        <w:rPr>
          <w:rFonts w:ascii="Arial" w:hAnsi="Arial" w:cs="Arial"/>
          <w:b/>
          <w:i w:val="0"/>
          <w:szCs w:val="24"/>
          <w:u w:val="single"/>
        </w:rPr>
      </w:pPr>
    </w:p>
    <w:p w14:paraId="4A27EE29" w14:textId="77777777" w:rsidR="00D74050" w:rsidRPr="001C4B19" w:rsidRDefault="00D74050" w:rsidP="00636C53">
      <w:pPr>
        <w:pStyle w:val="BodyText"/>
        <w:keepNext/>
        <w:spacing w:line="264" w:lineRule="auto"/>
        <w:jc w:val="both"/>
        <w:rPr>
          <w:rFonts w:ascii="Arial" w:hAnsi="Arial" w:cs="Arial"/>
          <w:i w:val="0"/>
          <w:szCs w:val="24"/>
        </w:rPr>
      </w:pPr>
      <w:r w:rsidRPr="001C4B19">
        <w:rPr>
          <w:rFonts w:ascii="Arial" w:hAnsi="Arial" w:cs="Arial"/>
          <w:b/>
          <w:i w:val="0"/>
          <w:szCs w:val="24"/>
          <w:u w:val="single"/>
        </w:rPr>
        <w:t>ATTACHMENTS</w:t>
      </w:r>
    </w:p>
    <w:p w14:paraId="78E87F38" w14:textId="77777777" w:rsidR="00D74050" w:rsidRPr="001C4B19" w:rsidRDefault="00D74050" w:rsidP="00636C53">
      <w:pPr>
        <w:pStyle w:val="BodyText"/>
        <w:keepNext/>
        <w:spacing w:line="264" w:lineRule="auto"/>
        <w:jc w:val="both"/>
        <w:rPr>
          <w:rFonts w:ascii="Arial" w:hAnsi="Arial" w:cs="Arial"/>
          <w:i w:val="0"/>
          <w:szCs w:val="24"/>
        </w:rPr>
      </w:pPr>
    </w:p>
    <w:p w14:paraId="0A658FDE" w14:textId="4BEEF662" w:rsidR="00D74050" w:rsidRDefault="00D74050" w:rsidP="00636C53">
      <w:pPr>
        <w:pStyle w:val="BodyText"/>
        <w:keepNext/>
        <w:numPr>
          <w:ilvl w:val="0"/>
          <w:numId w:val="5"/>
        </w:numPr>
        <w:spacing w:line="264" w:lineRule="auto"/>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w:t>
      </w:r>
      <w:r w:rsidRPr="001C4B19">
        <w:rPr>
          <w:rFonts w:ascii="Arial" w:hAnsi="Arial" w:cs="Arial"/>
          <w:i w:val="0"/>
          <w:szCs w:val="24"/>
        </w:rPr>
        <w:t xml:space="preserve"> 20</w:t>
      </w:r>
      <w:r>
        <w:rPr>
          <w:rFonts w:ascii="Arial" w:hAnsi="Arial" w:cs="Arial"/>
          <w:i w:val="0"/>
          <w:szCs w:val="24"/>
        </w:rPr>
        <w:t>21</w:t>
      </w:r>
      <w:r w:rsidRPr="001C4B19">
        <w:rPr>
          <w:rFonts w:ascii="Arial" w:hAnsi="Arial" w:cs="Arial"/>
          <w:i w:val="0"/>
          <w:szCs w:val="24"/>
        </w:rPr>
        <w:t>-0</w:t>
      </w:r>
      <w:r w:rsidR="00C1478C">
        <w:rPr>
          <w:rFonts w:ascii="Arial" w:hAnsi="Arial" w:cs="Arial"/>
          <w:i w:val="0"/>
          <w:szCs w:val="24"/>
        </w:rPr>
        <w:t>389</w:t>
      </w:r>
      <w:r w:rsidRPr="001C4B19">
        <w:rPr>
          <w:rFonts w:ascii="Arial" w:hAnsi="Arial" w:cs="Arial"/>
          <w:i w:val="0"/>
          <w:szCs w:val="24"/>
        </w:rPr>
        <w:t xml:space="preserve"> (and its attachments)</w:t>
      </w:r>
    </w:p>
    <w:p w14:paraId="417C0456" w14:textId="77777777" w:rsidR="00F93D5D" w:rsidRDefault="003969B3" w:rsidP="00F93D5D">
      <w:pPr>
        <w:pStyle w:val="BodyText"/>
        <w:keepNext/>
        <w:spacing w:line="264" w:lineRule="auto"/>
        <w:ind w:left="720" w:firstLine="360"/>
        <w:jc w:val="both"/>
        <w:rPr>
          <w:rFonts w:ascii="Arial" w:hAnsi="Arial" w:cs="Arial"/>
          <w:i w:val="0"/>
          <w:szCs w:val="24"/>
        </w:rPr>
      </w:pPr>
      <w:r>
        <w:rPr>
          <w:rFonts w:ascii="Arial" w:hAnsi="Arial" w:cs="Arial"/>
          <w:i w:val="0"/>
          <w:szCs w:val="24"/>
        </w:rPr>
        <w:t>Attachment A:</w:t>
      </w:r>
      <w:r w:rsidR="00932D92">
        <w:rPr>
          <w:rFonts w:ascii="Arial" w:hAnsi="Arial" w:cs="Arial"/>
          <w:i w:val="0"/>
          <w:szCs w:val="24"/>
        </w:rPr>
        <w:t xml:space="preserve">  Outstanding Parity Bonds</w:t>
      </w:r>
    </w:p>
    <w:p w14:paraId="0E18E03D" w14:textId="77777777" w:rsidR="00F93D5D" w:rsidRDefault="006B2260" w:rsidP="00F93D5D">
      <w:pPr>
        <w:pStyle w:val="BodyText"/>
        <w:keepNext/>
        <w:spacing w:line="264" w:lineRule="auto"/>
        <w:ind w:left="720" w:firstLine="360"/>
        <w:jc w:val="both"/>
        <w:rPr>
          <w:rFonts w:ascii="Arial" w:hAnsi="Arial" w:cs="Arial"/>
          <w:i w:val="0"/>
          <w:szCs w:val="24"/>
        </w:rPr>
      </w:pPr>
      <w:r>
        <w:rPr>
          <w:rFonts w:ascii="Arial" w:hAnsi="Arial" w:cs="Arial"/>
          <w:i w:val="0"/>
          <w:szCs w:val="24"/>
        </w:rPr>
        <w:t>Attachment B:  Outstanding Parity Lien Obligations</w:t>
      </w:r>
    </w:p>
    <w:p w14:paraId="09254C68" w14:textId="77777777" w:rsidR="00F93D5D" w:rsidRDefault="001533C8" w:rsidP="00F93D5D">
      <w:pPr>
        <w:pStyle w:val="BodyText"/>
        <w:keepNext/>
        <w:spacing w:line="264" w:lineRule="auto"/>
        <w:ind w:left="720" w:firstLine="360"/>
        <w:jc w:val="both"/>
        <w:rPr>
          <w:rFonts w:ascii="Arial" w:hAnsi="Arial" w:cs="Arial"/>
          <w:i w:val="0"/>
          <w:szCs w:val="24"/>
        </w:rPr>
      </w:pPr>
      <w:r>
        <w:rPr>
          <w:rFonts w:ascii="Arial" w:hAnsi="Arial" w:cs="Arial"/>
          <w:i w:val="0"/>
          <w:szCs w:val="24"/>
        </w:rPr>
        <w:t>Attachment C:  Form of Parity Bond</w:t>
      </w:r>
    </w:p>
    <w:p w14:paraId="1A4BDE9E" w14:textId="3896B833" w:rsidR="00932D92" w:rsidRPr="001C4B19" w:rsidRDefault="001533C8" w:rsidP="00F93D5D">
      <w:pPr>
        <w:pStyle w:val="BodyText"/>
        <w:keepNext/>
        <w:spacing w:line="264" w:lineRule="auto"/>
        <w:ind w:left="720" w:firstLine="360"/>
        <w:jc w:val="both"/>
        <w:rPr>
          <w:rFonts w:ascii="Arial" w:hAnsi="Arial" w:cs="Arial"/>
          <w:i w:val="0"/>
          <w:szCs w:val="24"/>
        </w:rPr>
      </w:pPr>
      <w:r>
        <w:rPr>
          <w:rFonts w:ascii="Arial" w:hAnsi="Arial" w:cs="Arial"/>
          <w:i w:val="0"/>
          <w:szCs w:val="24"/>
        </w:rPr>
        <w:t>Attachment D:  Form of Parity Lien Obligation</w:t>
      </w:r>
    </w:p>
    <w:p w14:paraId="229FFF67" w14:textId="77777777" w:rsidR="00D74050" w:rsidRPr="001C4B19" w:rsidRDefault="00D74050" w:rsidP="00636C53">
      <w:pPr>
        <w:pStyle w:val="BodyText"/>
        <w:numPr>
          <w:ilvl w:val="0"/>
          <w:numId w:val="5"/>
        </w:numPr>
        <w:spacing w:line="264" w:lineRule="auto"/>
        <w:jc w:val="both"/>
        <w:rPr>
          <w:rFonts w:ascii="Arial" w:hAnsi="Arial" w:cs="Arial"/>
          <w:i w:val="0"/>
          <w:szCs w:val="24"/>
        </w:rPr>
      </w:pPr>
      <w:r w:rsidRPr="001C4B19">
        <w:rPr>
          <w:rFonts w:ascii="Arial" w:hAnsi="Arial" w:cs="Arial"/>
          <w:i w:val="0"/>
          <w:szCs w:val="24"/>
        </w:rPr>
        <w:t>Transmittal Letter</w:t>
      </w:r>
    </w:p>
    <w:p w14:paraId="73BB4718" w14:textId="3C708768" w:rsidR="00D74050" w:rsidRPr="00636C53" w:rsidRDefault="00D74050" w:rsidP="00636C53">
      <w:pPr>
        <w:pStyle w:val="BodyText"/>
        <w:numPr>
          <w:ilvl w:val="0"/>
          <w:numId w:val="5"/>
        </w:numPr>
        <w:spacing w:line="264" w:lineRule="auto"/>
        <w:jc w:val="both"/>
        <w:rPr>
          <w:rFonts w:ascii="Arial" w:hAnsi="Arial" w:cs="Arial"/>
          <w:i w:val="0"/>
          <w:szCs w:val="24"/>
        </w:rPr>
      </w:pPr>
      <w:r w:rsidRPr="001C4B19">
        <w:rPr>
          <w:rFonts w:ascii="Arial" w:hAnsi="Arial" w:cs="Arial"/>
          <w:i w:val="0"/>
          <w:szCs w:val="24"/>
        </w:rPr>
        <w:t>Fiscal Note</w:t>
      </w:r>
    </w:p>
    <w:sectPr w:rsidR="00D74050" w:rsidRPr="00636C53" w:rsidSect="00D74050">
      <w:headerReference w:type="first" r:id="rId8"/>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94D47" w14:textId="77777777" w:rsidR="00D74050" w:rsidRDefault="00D74050" w:rsidP="00D74050">
      <w:pPr>
        <w:spacing w:after="0" w:line="240" w:lineRule="auto"/>
      </w:pPr>
      <w:r>
        <w:separator/>
      </w:r>
    </w:p>
  </w:endnote>
  <w:endnote w:type="continuationSeparator" w:id="0">
    <w:p w14:paraId="78AF3286" w14:textId="77777777" w:rsidR="00D74050" w:rsidRDefault="00D74050" w:rsidP="00D7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300FC" w14:textId="77777777" w:rsidR="00D74050" w:rsidRDefault="00D74050" w:rsidP="00D74050">
      <w:pPr>
        <w:spacing w:after="0" w:line="240" w:lineRule="auto"/>
      </w:pPr>
      <w:r>
        <w:separator/>
      </w:r>
    </w:p>
  </w:footnote>
  <w:footnote w:type="continuationSeparator" w:id="0">
    <w:p w14:paraId="6D3A31D0" w14:textId="77777777" w:rsidR="00D74050" w:rsidRDefault="00D74050" w:rsidP="00D74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F638" w14:textId="77777777" w:rsidR="00C75025" w:rsidRDefault="00BF35FC" w:rsidP="00C75025">
    <w:pPr>
      <w:jc w:val="center"/>
    </w:pPr>
    <w:r>
      <w:rPr>
        <w:noProof/>
      </w:rPr>
      <w:drawing>
        <wp:inline distT="0" distB="0" distL="0" distR="0" wp14:anchorId="6BA8C609" wp14:editId="44C22AD9">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1E6B01E" w14:textId="77777777" w:rsidR="00C75025" w:rsidRDefault="00BF35FC" w:rsidP="00636C53">
    <w:pPr>
      <w:spacing w:after="0"/>
      <w:contextualSpacing/>
      <w:jc w:val="center"/>
      <w:rPr>
        <w:rFonts w:ascii="Verdana" w:hAnsi="Verdana"/>
        <w:b/>
        <w:sz w:val="28"/>
        <w:szCs w:val="28"/>
      </w:rPr>
    </w:pPr>
    <w:r>
      <w:rPr>
        <w:rFonts w:ascii="Verdana" w:hAnsi="Verdana"/>
        <w:b/>
        <w:sz w:val="28"/>
        <w:szCs w:val="28"/>
      </w:rPr>
      <w:t>Metropolitan King County Council</w:t>
    </w:r>
  </w:p>
  <w:p w14:paraId="49FF4D02" w14:textId="61877DAF" w:rsidR="00C75025" w:rsidRPr="004A1D48" w:rsidRDefault="0057132B" w:rsidP="00636C53">
    <w:pPr>
      <w:spacing w:after="0"/>
      <w:contextualSpacing/>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D25DD"/>
    <w:multiLevelType w:val="hybridMultilevel"/>
    <w:tmpl w:val="101430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D6060"/>
    <w:multiLevelType w:val="hybridMultilevel"/>
    <w:tmpl w:val="28C69E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C2E16"/>
    <w:multiLevelType w:val="hybridMultilevel"/>
    <w:tmpl w:val="4EDCD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6E1803"/>
    <w:multiLevelType w:val="hybridMultilevel"/>
    <w:tmpl w:val="23F4B5BA"/>
    <w:lvl w:ilvl="0" w:tplc="D8F27864">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8"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2"/>
  </w:num>
  <w:num w:numId="6">
    <w:abstractNumId w:val="5"/>
  </w:num>
  <w:num w:numId="7">
    <w:abstractNumId w:val="9"/>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50"/>
    <w:rsid w:val="0000401F"/>
    <w:rsid w:val="0001000C"/>
    <w:rsid w:val="0001491F"/>
    <w:rsid w:val="00040068"/>
    <w:rsid w:val="00044036"/>
    <w:rsid w:val="00081D06"/>
    <w:rsid w:val="000A38AA"/>
    <w:rsid w:val="000D0F54"/>
    <w:rsid w:val="000D4154"/>
    <w:rsid w:val="00106E12"/>
    <w:rsid w:val="001533C8"/>
    <w:rsid w:val="001D2E3D"/>
    <w:rsid w:val="001E2FCE"/>
    <w:rsid w:val="001F4F73"/>
    <w:rsid w:val="002214A7"/>
    <w:rsid w:val="00263DF2"/>
    <w:rsid w:val="002A0E22"/>
    <w:rsid w:val="002C21E0"/>
    <w:rsid w:val="002C592D"/>
    <w:rsid w:val="00311286"/>
    <w:rsid w:val="003260CC"/>
    <w:rsid w:val="0032616A"/>
    <w:rsid w:val="00330019"/>
    <w:rsid w:val="00341744"/>
    <w:rsid w:val="003432FF"/>
    <w:rsid w:val="0034630E"/>
    <w:rsid w:val="00354741"/>
    <w:rsid w:val="003969B3"/>
    <w:rsid w:val="003A3699"/>
    <w:rsid w:val="00400DE9"/>
    <w:rsid w:val="004111AF"/>
    <w:rsid w:val="004329FB"/>
    <w:rsid w:val="00447780"/>
    <w:rsid w:val="004507EB"/>
    <w:rsid w:val="004540DD"/>
    <w:rsid w:val="00485415"/>
    <w:rsid w:val="00486280"/>
    <w:rsid w:val="004B0DF9"/>
    <w:rsid w:val="004C71E5"/>
    <w:rsid w:val="004D5384"/>
    <w:rsid w:val="004E0E0A"/>
    <w:rsid w:val="004F3005"/>
    <w:rsid w:val="00530589"/>
    <w:rsid w:val="00530A27"/>
    <w:rsid w:val="00542419"/>
    <w:rsid w:val="0057132B"/>
    <w:rsid w:val="005723A8"/>
    <w:rsid w:val="00586064"/>
    <w:rsid w:val="00592959"/>
    <w:rsid w:val="00636C53"/>
    <w:rsid w:val="00652752"/>
    <w:rsid w:val="00662EDD"/>
    <w:rsid w:val="0067234D"/>
    <w:rsid w:val="006941ED"/>
    <w:rsid w:val="00694F9B"/>
    <w:rsid w:val="006B2260"/>
    <w:rsid w:val="006C4F41"/>
    <w:rsid w:val="006D2F45"/>
    <w:rsid w:val="006E0401"/>
    <w:rsid w:val="006E0DF7"/>
    <w:rsid w:val="006E5019"/>
    <w:rsid w:val="00717462"/>
    <w:rsid w:val="007A2407"/>
    <w:rsid w:val="007B1B61"/>
    <w:rsid w:val="00830B6E"/>
    <w:rsid w:val="00885B8D"/>
    <w:rsid w:val="008968C1"/>
    <w:rsid w:val="008B6348"/>
    <w:rsid w:val="008C397D"/>
    <w:rsid w:val="008C7B52"/>
    <w:rsid w:val="008E5204"/>
    <w:rsid w:val="008F5CC7"/>
    <w:rsid w:val="00904CC6"/>
    <w:rsid w:val="0092418E"/>
    <w:rsid w:val="009262A2"/>
    <w:rsid w:val="00932D92"/>
    <w:rsid w:val="0093612A"/>
    <w:rsid w:val="00953939"/>
    <w:rsid w:val="00960FDA"/>
    <w:rsid w:val="009644D0"/>
    <w:rsid w:val="009B4176"/>
    <w:rsid w:val="009B5E92"/>
    <w:rsid w:val="009D0789"/>
    <w:rsid w:val="00A419D7"/>
    <w:rsid w:val="00A56AE8"/>
    <w:rsid w:val="00AA7B21"/>
    <w:rsid w:val="00B72584"/>
    <w:rsid w:val="00B83205"/>
    <w:rsid w:val="00BA375E"/>
    <w:rsid w:val="00BC045B"/>
    <w:rsid w:val="00BF35FC"/>
    <w:rsid w:val="00C1478C"/>
    <w:rsid w:val="00C21ECC"/>
    <w:rsid w:val="00C42DAB"/>
    <w:rsid w:val="00CA5198"/>
    <w:rsid w:val="00CE50DB"/>
    <w:rsid w:val="00CF7AA9"/>
    <w:rsid w:val="00CF7DB0"/>
    <w:rsid w:val="00D25BF1"/>
    <w:rsid w:val="00D27B3B"/>
    <w:rsid w:val="00D3671C"/>
    <w:rsid w:val="00D74050"/>
    <w:rsid w:val="00D970B5"/>
    <w:rsid w:val="00DA2AE6"/>
    <w:rsid w:val="00DA540A"/>
    <w:rsid w:val="00DF48ED"/>
    <w:rsid w:val="00E4204D"/>
    <w:rsid w:val="00E51A20"/>
    <w:rsid w:val="00E53B61"/>
    <w:rsid w:val="00E96219"/>
    <w:rsid w:val="00EF039F"/>
    <w:rsid w:val="00EF3514"/>
    <w:rsid w:val="00F12FE3"/>
    <w:rsid w:val="00F13727"/>
    <w:rsid w:val="00F13876"/>
    <w:rsid w:val="00F306B5"/>
    <w:rsid w:val="00F335B4"/>
    <w:rsid w:val="00F778E1"/>
    <w:rsid w:val="00F855F6"/>
    <w:rsid w:val="00F93D5D"/>
    <w:rsid w:val="00FB60E6"/>
    <w:rsid w:val="00FD49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210F"/>
  <w15:chartTrackingRefBased/>
  <w15:docId w15:val="{3B58DB95-AB96-418E-8505-424392AF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74050"/>
    <w:pPr>
      <w:keepNext/>
      <w:spacing w:after="0" w:line="240" w:lineRule="auto"/>
      <w:jc w:val="center"/>
      <w:outlineLvl w:val="1"/>
    </w:pPr>
    <w:rPr>
      <w:rFonts w:ascii="Times New Roman" w:eastAsia="Times New Roman" w:hAnsi="Times New Roman"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4050"/>
    <w:rPr>
      <w:rFonts w:ascii="Times New Roman" w:eastAsia="Times New Roman" w:hAnsi="Times New Roman" w:cs="Times New Roman"/>
      <w:b/>
      <w:sz w:val="32"/>
      <w:szCs w:val="20"/>
      <w:u w:val="single"/>
    </w:rPr>
  </w:style>
  <w:style w:type="paragraph" w:styleId="BodyText">
    <w:name w:val="Body Text"/>
    <w:basedOn w:val="Normal"/>
    <w:link w:val="BodyTextChar"/>
    <w:rsid w:val="00D74050"/>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D74050"/>
    <w:rPr>
      <w:rFonts w:ascii="Times New Roman" w:eastAsia="Times New Roman" w:hAnsi="Times New Roman" w:cs="Times New Roman"/>
      <w:i/>
      <w:sz w:val="24"/>
      <w:szCs w:val="20"/>
    </w:rPr>
  </w:style>
  <w:style w:type="paragraph" w:styleId="FootnoteText">
    <w:name w:val="footnote text"/>
    <w:basedOn w:val="Normal"/>
    <w:link w:val="FootnoteTextChar"/>
    <w:semiHidden/>
    <w:rsid w:val="00D7405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74050"/>
    <w:rPr>
      <w:rFonts w:ascii="Times New Roman" w:eastAsia="Times New Roman" w:hAnsi="Times New Roman" w:cs="Times New Roman"/>
      <w:sz w:val="20"/>
      <w:szCs w:val="20"/>
    </w:rPr>
  </w:style>
  <w:style w:type="character" w:styleId="FootnoteReference">
    <w:name w:val="footnote reference"/>
    <w:semiHidden/>
    <w:rsid w:val="00D74050"/>
    <w:rPr>
      <w:vertAlign w:val="superscript"/>
    </w:rPr>
  </w:style>
  <w:style w:type="table" w:styleId="TableGrid">
    <w:name w:val="Table Grid"/>
    <w:basedOn w:val="TableNormal"/>
    <w:rsid w:val="00D740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050"/>
    <w:pPr>
      <w:spacing w:after="0" w:line="300" w:lineRule="exact"/>
      <w:ind w:left="720"/>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D74050"/>
    <w:rPr>
      <w:sz w:val="16"/>
      <w:szCs w:val="16"/>
    </w:rPr>
  </w:style>
  <w:style w:type="paragraph" w:styleId="CommentText">
    <w:name w:val="annotation text"/>
    <w:basedOn w:val="Normal"/>
    <w:link w:val="CommentTextChar"/>
    <w:uiPriority w:val="99"/>
    <w:semiHidden/>
    <w:unhideWhenUsed/>
    <w:rsid w:val="00D7405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7405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74050"/>
    <w:rPr>
      <w:color w:val="0563C1" w:themeColor="hyperlink"/>
      <w:u w:val="single"/>
    </w:rPr>
  </w:style>
  <w:style w:type="paragraph" w:styleId="Quote">
    <w:name w:val="Quote"/>
    <w:basedOn w:val="Normal"/>
    <w:next w:val="Normal"/>
    <w:link w:val="QuoteChar"/>
    <w:uiPriority w:val="29"/>
    <w:qFormat/>
    <w:rsid w:val="00D74050"/>
    <w:pPr>
      <w:spacing w:before="200" w:line="240" w:lineRule="auto"/>
      <w:ind w:left="864" w:right="864"/>
      <w:jc w:val="center"/>
    </w:pPr>
    <w:rPr>
      <w:rFonts w:ascii="Times New Roman" w:eastAsia="Times New Roman" w:hAnsi="Times New Roman" w:cs="Times New Roman"/>
      <w:i/>
      <w:iCs/>
      <w:color w:val="404040" w:themeColor="text1" w:themeTint="BF"/>
      <w:sz w:val="24"/>
      <w:szCs w:val="20"/>
    </w:rPr>
  </w:style>
  <w:style w:type="character" w:customStyle="1" w:styleId="QuoteChar">
    <w:name w:val="Quote Char"/>
    <w:basedOn w:val="DefaultParagraphFont"/>
    <w:link w:val="Quote"/>
    <w:uiPriority w:val="29"/>
    <w:rsid w:val="00D74050"/>
    <w:rPr>
      <w:rFonts w:ascii="Times New Roman" w:eastAsia="Times New Roman" w:hAnsi="Times New Roman" w:cs="Times New Roman"/>
      <w:i/>
      <w:iCs/>
      <w:color w:val="404040" w:themeColor="text1" w:themeTint="BF"/>
      <w:sz w:val="24"/>
      <w:szCs w:val="20"/>
    </w:rPr>
  </w:style>
  <w:style w:type="paragraph" w:styleId="Header">
    <w:name w:val="header"/>
    <w:basedOn w:val="Normal"/>
    <w:link w:val="HeaderChar"/>
    <w:uiPriority w:val="99"/>
    <w:unhideWhenUsed/>
    <w:rsid w:val="00354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741"/>
  </w:style>
  <w:style w:type="paragraph" w:styleId="Footer">
    <w:name w:val="footer"/>
    <w:basedOn w:val="Normal"/>
    <w:link w:val="FooterChar"/>
    <w:uiPriority w:val="99"/>
    <w:unhideWhenUsed/>
    <w:rsid w:val="00354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741"/>
  </w:style>
  <w:style w:type="paragraph" w:styleId="CommentSubject">
    <w:name w:val="annotation subject"/>
    <w:basedOn w:val="CommentText"/>
    <w:next w:val="CommentText"/>
    <w:link w:val="CommentSubjectChar"/>
    <w:uiPriority w:val="99"/>
    <w:semiHidden/>
    <w:unhideWhenUsed/>
    <w:rsid w:val="00CF7AA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F7AA9"/>
    <w:rPr>
      <w:rFonts w:ascii="Times New Roman" w:eastAsia="Times New Roman" w:hAnsi="Times New Roman" w:cs="Times New Roman"/>
      <w:b/>
      <w:bCs/>
      <w:sz w:val="20"/>
      <w:szCs w:val="20"/>
    </w:rPr>
  </w:style>
  <w:style w:type="paragraph" w:styleId="Revision">
    <w:name w:val="Revision"/>
    <w:hidden/>
    <w:uiPriority w:val="99"/>
    <w:semiHidden/>
    <w:rsid w:val="009262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B4B7F-31A1-4F74-ADD5-F237C844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Kim, Andrew</cp:lastModifiedBy>
  <cp:revision>6</cp:revision>
  <dcterms:created xsi:type="dcterms:W3CDTF">2021-12-01T00:45:00Z</dcterms:created>
  <dcterms:modified xsi:type="dcterms:W3CDTF">2021-12-03T01:12:00Z</dcterms:modified>
</cp:coreProperties>
</file>