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35A47" w14:textId="77777777" w:rsidR="00EB5A13" w:rsidRPr="00A46A5D" w:rsidRDefault="00EB5A13" w:rsidP="00EB5A13">
      <w:pPr>
        <w:pStyle w:val="Heading2"/>
        <w:rPr>
          <w:b w:val="0"/>
          <w:sz w:val="24"/>
          <w:u w:val="none"/>
        </w:rPr>
      </w:pPr>
    </w:p>
    <w:p w14:paraId="2C1B4DE8" w14:textId="0B139F07" w:rsidR="00EB5A13" w:rsidRPr="00F71F8C" w:rsidRDefault="00A85031" w:rsidP="00EB5A13">
      <w:pPr>
        <w:pStyle w:val="Heading2"/>
        <w:rPr>
          <w:rFonts w:ascii="Arial" w:hAnsi="Arial" w:cs="Arial"/>
          <w:sz w:val="24"/>
        </w:rPr>
      </w:pPr>
      <w:r>
        <w:rPr>
          <w:rFonts w:ascii="Arial" w:hAnsi="Arial" w:cs="Arial"/>
          <w:sz w:val="24"/>
        </w:rPr>
        <w:t xml:space="preserve">REVISED </w:t>
      </w:r>
      <w:r w:rsidR="00EB5A13" w:rsidRPr="00F71F8C">
        <w:rPr>
          <w:rFonts w:ascii="Arial" w:hAnsi="Arial" w:cs="Arial"/>
          <w:sz w:val="24"/>
        </w:rPr>
        <w:t>STAFF REPORT</w:t>
      </w:r>
    </w:p>
    <w:p w14:paraId="2E88775A"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6D7DD05F"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45788C5"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6D26B592" w14:textId="769F02AE" w:rsidR="00EB5A13" w:rsidRPr="009349D6" w:rsidRDefault="00EB5A13" w:rsidP="00074A56">
            <w:pPr>
              <w:spacing w:before="40" w:after="40"/>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vAlign w:val="center"/>
          </w:tcPr>
          <w:p w14:paraId="0110913D"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73A0738D" w14:textId="7A941ABA" w:rsidR="00EB5A13" w:rsidRPr="009349D6" w:rsidRDefault="004D31A9" w:rsidP="00074A56">
            <w:pPr>
              <w:spacing w:before="40" w:after="40"/>
              <w:rPr>
                <w:rFonts w:ascii="Arial" w:hAnsi="Arial" w:cs="Arial"/>
              </w:rPr>
            </w:pPr>
            <w:r>
              <w:rPr>
                <w:rFonts w:ascii="Arial" w:hAnsi="Arial" w:cs="Arial"/>
              </w:rPr>
              <w:t>Andy Micklow</w:t>
            </w:r>
          </w:p>
        </w:tc>
      </w:tr>
      <w:tr w:rsidR="00EB5A13" w:rsidRPr="009349D6" w14:paraId="108627FB"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0EAFC453"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080B68B7" w14:textId="77D0BA6F" w:rsidR="00EB5A13" w:rsidRPr="009349D6" w:rsidRDefault="004D31A9" w:rsidP="00074A56">
            <w:pPr>
              <w:spacing w:before="40" w:after="40"/>
              <w:rPr>
                <w:rFonts w:ascii="Arial" w:hAnsi="Arial" w:cs="Arial"/>
              </w:rPr>
            </w:pPr>
            <w:r>
              <w:rPr>
                <w:rFonts w:ascii="Arial" w:hAnsi="Arial" w:cs="Arial"/>
              </w:rPr>
              <w:t>2021-0255</w:t>
            </w:r>
          </w:p>
        </w:tc>
        <w:tc>
          <w:tcPr>
            <w:tcW w:w="1170" w:type="dxa"/>
            <w:tcBorders>
              <w:top w:val="single" w:sz="4" w:space="0" w:color="auto"/>
              <w:left w:val="single" w:sz="4" w:space="0" w:color="auto"/>
              <w:bottom w:val="single" w:sz="4" w:space="0" w:color="auto"/>
              <w:right w:val="single" w:sz="4" w:space="0" w:color="auto"/>
            </w:tcBorders>
            <w:vAlign w:val="center"/>
          </w:tcPr>
          <w:p w14:paraId="38BCEFAD" w14:textId="77777777" w:rsidR="00EB5A13" w:rsidRPr="00B069C6" w:rsidRDefault="00B069C6" w:rsidP="00074A56">
            <w:pPr>
              <w:spacing w:before="40" w:after="40"/>
              <w:ind w:right="-108"/>
              <w:rPr>
                <w:rFonts w:ascii="Arial" w:hAnsi="Arial" w:cs="Arial"/>
                <w:b/>
              </w:rPr>
            </w:pPr>
            <w:r w:rsidRPr="00B069C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4343865B" w14:textId="4D36BD87" w:rsidR="00EB5A13" w:rsidRPr="009349D6" w:rsidRDefault="00EB5A13" w:rsidP="00074A56">
            <w:pPr>
              <w:spacing w:before="40" w:after="40"/>
              <w:rPr>
                <w:rFonts w:ascii="Arial" w:hAnsi="Arial" w:cs="Arial"/>
              </w:rPr>
            </w:pPr>
          </w:p>
        </w:tc>
      </w:tr>
    </w:tbl>
    <w:p w14:paraId="05B87046" w14:textId="77777777" w:rsidR="0096684D" w:rsidRDefault="0096684D" w:rsidP="0026669B">
      <w:pPr>
        <w:rPr>
          <w:rFonts w:ascii="Arial" w:hAnsi="Arial" w:cs="Arial"/>
          <w:b/>
          <w:smallCaps/>
          <w:szCs w:val="24"/>
          <w:u w:val="single"/>
        </w:rPr>
      </w:pPr>
    </w:p>
    <w:p w14:paraId="20DD3F37" w14:textId="77777777" w:rsidR="00A85031" w:rsidRDefault="00A85031" w:rsidP="00A85031">
      <w:pPr>
        <w:rPr>
          <w:rFonts w:ascii="Arial" w:hAnsi="Arial" w:cs="Arial"/>
          <w:b/>
          <w:smallCaps/>
          <w:szCs w:val="24"/>
          <w:u w:val="single"/>
        </w:rPr>
      </w:pPr>
      <w:r>
        <w:rPr>
          <w:rFonts w:ascii="Arial" w:hAnsi="Arial" w:cs="Arial"/>
          <w:b/>
          <w:smallCaps/>
          <w:szCs w:val="24"/>
          <w:u w:val="single"/>
        </w:rPr>
        <w:t>COMMITTEE ACTION</w:t>
      </w:r>
    </w:p>
    <w:p w14:paraId="62CEEC0F" w14:textId="77777777" w:rsidR="00A85031" w:rsidRDefault="00A85031" w:rsidP="00A85031">
      <w:pPr>
        <w:rPr>
          <w:rFonts w:ascii="Arial" w:hAnsi="Arial" w:cs="Arial"/>
          <w:b/>
          <w:smallCaps/>
          <w:szCs w:val="24"/>
          <w:u w:val="single"/>
        </w:rPr>
      </w:pPr>
    </w:p>
    <w:tbl>
      <w:tblPr>
        <w:tblStyle w:val="TableGrid"/>
        <w:tblW w:w="9535" w:type="dxa"/>
        <w:tblLook w:val="04A0" w:firstRow="1" w:lastRow="0" w:firstColumn="1" w:lastColumn="0" w:noHBand="0" w:noVBand="1"/>
      </w:tblPr>
      <w:tblGrid>
        <w:gridCol w:w="9535"/>
      </w:tblGrid>
      <w:tr w:rsidR="00A85031" w14:paraId="6BB3D673" w14:textId="77777777" w:rsidTr="00A744FC">
        <w:tc>
          <w:tcPr>
            <w:tcW w:w="9535" w:type="dxa"/>
          </w:tcPr>
          <w:p w14:paraId="3742D570" w14:textId="77777777" w:rsidR="00A85031" w:rsidRDefault="00A85031" w:rsidP="00A744FC">
            <w:pPr>
              <w:jc w:val="both"/>
              <w:rPr>
                <w:rFonts w:ascii="Arial" w:hAnsi="Arial" w:cs="Arial"/>
                <w:b/>
                <w:i/>
              </w:rPr>
            </w:pPr>
          </w:p>
          <w:p w14:paraId="1A03094C" w14:textId="047F2A29" w:rsidR="00A85031" w:rsidRDefault="00A85031" w:rsidP="00A744FC">
            <w:pPr>
              <w:jc w:val="both"/>
              <w:rPr>
                <w:rFonts w:ascii="Arial" w:hAnsi="Arial" w:cs="Arial"/>
                <w:b/>
                <w:i/>
              </w:rPr>
            </w:pPr>
            <w:r w:rsidRPr="00A85031">
              <w:rPr>
                <w:rFonts w:ascii="Arial" w:hAnsi="Arial" w:cs="Arial"/>
                <w:b/>
                <w:i/>
              </w:rPr>
              <w:t>Proposed Substitute Ordinance 2021-0255.2</w:t>
            </w:r>
            <w:r w:rsidR="00E0512A">
              <w:rPr>
                <w:rFonts w:ascii="Arial" w:hAnsi="Arial" w:cs="Arial"/>
                <w:b/>
                <w:i/>
              </w:rPr>
              <w:t>,</w:t>
            </w:r>
            <w:r w:rsidRPr="00A85031">
              <w:rPr>
                <w:rFonts w:ascii="Arial" w:hAnsi="Arial" w:cs="Arial"/>
                <w:b/>
                <w:i/>
              </w:rPr>
              <w:t xml:space="preserve"> which would adopt and ratify Growth Management Planning Council Motion 21-2, passed out of committee on November 30, 2021, with a “Do Pass” recommendation. The Ordinance was amended in committee with Amendment 1 to attach an updated version of the Urban Growth Capacity Report with updated data for the City of Bothell.</w:t>
            </w:r>
          </w:p>
          <w:p w14:paraId="018879C3" w14:textId="77777777" w:rsidR="00A85031" w:rsidRPr="00A11E83" w:rsidRDefault="00A85031" w:rsidP="00A744FC">
            <w:pPr>
              <w:jc w:val="both"/>
              <w:rPr>
                <w:rFonts w:ascii="Arial" w:hAnsi="Arial" w:cs="Arial"/>
                <w:b/>
                <w:i/>
              </w:rPr>
            </w:pPr>
          </w:p>
        </w:tc>
      </w:tr>
    </w:tbl>
    <w:p w14:paraId="5F7994F0" w14:textId="77777777" w:rsidR="00A85031" w:rsidRDefault="00A85031" w:rsidP="0026669B">
      <w:pPr>
        <w:jc w:val="both"/>
        <w:rPr>
          <w:rFonts w:ascii="Arial" w:hAnsi="Arial" w:cs="Arial"/>
          <w:b/>
          <w:u w:val="single"/>
        </w:rPr>
      </w:pPr>
    </w:p>
    <w:p w14:paraId="0FB7E7BA" w14:textId="696EECA6" w:rsidR="0026669B" w:rsidRPr="009349D6" w:rsidRDefault="0026669B" w:rsidP="0026669B">
      <w:pPr>
        <w:jc w:val="both"/>
        <w:rPr>
          <w:rFonts w:ascii="Arial" w:hAnsi="Arial" w:cs="Arial"/>
          <w:b/>
          <w:u w:val="single"/>
        </w:rPr>
      </w:pPr>
      <w:r w:rsidRPr="009349D6">
        <w:rPr>
          <w:rFonts w:ascii="Arial" w:hAnsi="Arial" w:cs="Arial"/>
          <w:b/>
          <w:u w:val="single"/>
        </w:rPr>
        <w:t>SUBJECT</w:t>
      </w:r>
    </w:p>
    <w:p w14:paraId="1D418A30" w14:textId="77777777" w:rsidR="0026669B" w:rsidRDefault="0026669B" w:rsidP="0026669B">
      <w:pPr>
        <w:jc w:val="both"/>
        <w:rPr>
          <w:rFonts w:ascii="Arial" w:hAnsi="Arial" w:cs="Arial"/>
        </w:rPr>
      </w:pPr>
    </w:p>
    <w:p w14:paraId="765F0F14" w14:textId="285BEF20" w:rsidR="0096684D" w:rsidRPr="00C75025" w:rsidRDefault="004D31A9" w:rsidP="0096684D">
      <w:pPr>
        <w:jc w:val="both"/>
        <w:rPr>
          <w:rFonts w:ascii="Arial" w:hAnsi="Arial" w:cs="Arial"/>
          <w:b/>
          <w:u w:val="single"/>
        </w:rPr>
      </w:pPr>
      <w:r w:rsidRPr="004D31A9">
        <w:rPr>
          <w:rFonts w:ascii="Arial" w:hAnsi="Arial" w:cs="Arial"/>
        </w:rPr>
        <w:t xml:space="preserve">A proposed ordinance adopting and ratifying Growth Management Planning Council Motion </w:t>
      </w:r>
      <w:r>
        <w:rPr>
          <w:rFonts w:ascii="Arial" w:hAnsi="Arial" w:cs="Arial"/>
        </w:rPr>
        <w:t>21-2</w:t>
      </w:r>
      <w:r w:rsidRPr="004D31A9">
        <w:rPr>
          <w:rFonts w:ascii="Arial" w:hAnsi="Arial" w:cs="Arial"/>
        </w:rPr>
        <w:t>.</w:t>
      </w:r>
    </w:p>
    <w:p w14:paraId="37D26295" w14:textId="77777777" w:rsidR="0026669B" w:rsidRDefault="0026669B" w:rsidP="0026669B">
      <w:pPr>
        <w:jc w:val="both"/>
        <w:rPr>
          <w:rFonts w:ascii="Arial" w:hAnsi="Arial" w:cs="Arial"/>
          <w:b/>
          <w:smallCaps/>
          <w:szCs w:val="24"/>
          <w:u w:val="single"/>
        </w:rPr>
      </w:pPr>
    </w:p>
    <w:p w14:paraId="1D1CD2C3" w14:textId="77777777" w:rsidR="0026669B" w:rsidRDefault="0026669B" w:rsidP="0026669B">
      <w:pPr>
        <w:jc w:val="both"/>
        <w:rPr>
          <w:rFonts w:ascii="Arial" w:hAnsi="Arial" w:cs="Arial"/>
          <w:b/>
          <w:smallCaps/>
          <w:szCs w:val="24"/>
          <w:u w:val="single"/>
        </w:rPr>
      </w:pPr>
      <w:r w:rsidRPr="009864F8">
        <w:rPr>
          <w:rFonts w:ascii="Arial" w:hAnsi="Arial" w:cs="Arial"/>
          <w:b/>
          <w:smallCaps/>
          <w:szCs w:val="24"/>
          <w:u w:val="single"/>
        </w:rPr>
        <w:t>SUMMARY</w:t>
      </w:r>
    </w:p>
    <w:p w14:paraId="75CE3424" w14:textId="77777777" w:rsidR="0026669B" w:rsidRDefault="0026669B" w:rsidP="0026669B">
      <w:pPr>
        <w:jc w:val="both"/>
        <w:rPr>
          <w:rFonts w:ascii="Arial" w:hAnsi="Arial" w:cs="Arial"/>
        </w:rPr>
      </w:pPr>
    </w:p>
    <w:p w14:paraId="74C71460" w14:textId="3722A343" w:rsidR="00FD0C24" w:rsidRDefault="004D31A9" w:rsidP="0026669B">
      <w:pPr>
        <w:jc w:val="both"/>
        <w:rPr>
          <w:rFonts w:ascii="Arial" w:hAnsi="Arial" w:cs="Arial"/>
        </w:rPr>
      </w:pPr>
      <w:r w:rsidRPr="004D31A9">
        <w:rPr>
          <w:rFonts w:ascii="Arial" w:hAnsi="Arial" w:cs="Arial"/>
        </w:rPr>
        <w:t>Proposed Ordinance 20</w:t>
      </w:r>
      <w:r>
        <w:rPr>
          <w:rFonts w:ascii="Arial" w:hAnsi="Arial" w:cs="Arial"/>
        </w:rPr>
        <w:t>21-0255</w:t>
      </w:r>
      <w:r w:rsidRPr="004D31A9">
        <w:rPr>
          <w:rFonts w:ascii="Arial" w:hAnsi="Arial" w:cs="Arial"/>
        </w:rPr>
        <w:t xml:space="preserve"> would approve the 2021 Urban Growth Capacity Report, as recommended by the Growth Management Planning Council, and ratify it on behalf of the population of unincorporated King County.</w:t>
      </w:r>
      <w:r w:rsidR="00CD520B">
        <w:rPr>
          <w:rFonts w:ascii="Arial" w:hAnsi="Arial" w:cs="Arial"/>
        </w:rPr>
        <w:t xml:space="preserve"> </w:t>
      </w:r>
      <w:r w:rsidR="00CD520B" w:rsidRPr="00CD520B">
        <w:rPr>
          <w:rFonts w:ascii="Arial" w:hAnsi="Arial" w:cs="Arial"/>
        </w:rPr>
        <w:t>The Report includes development and capacity information for each jurisdiction, an assessment of countywide and Regional Geography trends, and data on growth target planned density achievement.</w:t>
      </w:r>
      <w:r w:rsidR="00CD520B">
        <w:rPr>
          <w:rFonts w:ascii="Arial" w:hAnsi="Arial" w:cs="Arial"/>
        </w:rPr>
        <w:t xml:space="preserve"> </w:t>
      </w:r>
      <w:r w:rsidRPr="004D31A9">
        <w:rPr>
          <w:rFonts w:ascii="Arial" w:hAnsi="Arial" w:cs="Arial"/>
        </w:rPr>
        <w:t>If approved, this ordinance would begin the ratification process by the cities.</w:t>
      </w:r>
    </w:p>
    <w:p w14:paraId="7E3121C4" w14:textId="77777777" w:rsidR="004D31A9" w:rsidRDefault="004D31A9" w:rsidP="0026669B">
      <w:pPr>
        <w:jc w:val="both"/>
        <w:rPr>
          <w:rFonts w:ascii="Arial" w:hAnsi="Arial" w:cs="Arial"/>
        </w:rPr>
      </w:pPr>
    </w:p>
    <w:p w14:paraId="2C5EEE5B" w14:textId="77777777" w:rsidR="0026669B" w:rsidRDefault="0026669B" w:rsidP="0026669B">
      <w:pPr>
        <w:jc w:val="both"/>
        <w:rPr>
          <w:rFonts w:ascii="Arial" w:hAnsi="Arial" w:cs="Arial"/>
          <w:b/>
          <w:smallCaps/>
          <w:szCs w:val="24"/>
          <w:u w:val="single"/>
        </w:rPr>
      </w:pPr>
      <w:r w:rsidRPr="006B3473">
        <w:rPr>
          <w:rFonts w:ascii="Arial" w:hAnsi="Arial" w:cs="Arial"/>
          <w:b/>
          <w:smallCaps/>
          <w:szCs w:val="24"/>
          <w:u w:val="single"/>
        </w:rPr>
        <w:t>BACKGROUND</w:t>
      </w:r>
      <w:r>
        <w:rPr>
          <w:rFonts w:ascii="Arial" w:hAnsi="Arial" w:cs="Arial"/>
          <w:b/>
          <w:smallCaps/>
          <w:szCs w:val="24"/>
          <w:u w:val="single"/>
        </w:rPr>
        <w:t xml:space="preserve"> </w:t>
      </w:r>
    </w:p>
    <w:p w14:paraId="3B3D0B80" w14:textId="1D1E5968" w:rsidR="008C1DE5" w:rsidRDefault="008C1DE5" w:rsidP="0026669B">
      <w:pPr>
        <w:jc w:val="both"/>
        <w:rPr>
          <w:rFonts w:ascii="Arial" w:hAnsi="Arial" w:cs="Arial"/>
        </w:rPr>
      </w:pPr>
    </w:p>
    <w:p w14:paraId="3058B962" w14:textId="32F030BF" w:rsidR="008C1DE5" w:rsidRDefault="008C1DE5" w:rsidP="0026669B">
      <w:pPr>
        <w:jc w:val="both"/>
        <w:rPr>
          <w:rFonts w:ascii="Arial" w:hAnsi="Arial" w:cs="Arial"/>
        </w:rPr>
      </w:pPr>
      <w:r w:rsidRPr="008C1DE5">
        <w:rPr>
          <w:rFonts w:ascii="Arial" w:hAnsi="Arial" w:cs="Arial"/>
        </w:rPr>
        <w:t xml:space="preserve">The GMPC is a formal body </w:t>
      </w:r>
      <w:r w:rsidR="009B5F20">
        <w:rPr>
          <w:rFonts w:ascii="Arial" w:hAnsi="Arial" w:cs="Arial"/>
        </w:rPr>
        <w:t>composed</w:t>
      </w:r>
      <w:r w:rsidRPr="008C1DE5">
        <w:rPr>
          <w:rFonts w:ascii="Arial" w:hAnsi="Arial" w:cs="Arial"/>
        </w:rPr>
        <w:t xml:space="preserve"> of elected officials from King County, Seattle, Bellevue, other cities and towns in King County, and special purpose districts. The GMPC was created in 1992 by an interlocal agreement in response to a provision in the Washington State Growth Management Act (GMA) requiring cities and counties to work together to adopt </w:t>
      </w:r>
      <w:r>
        <w:rPr>
          <w:rFonts w:ascii="Arial" w:hAnsi="Arial" w:cs="Arial"/>
        </w:rPr>
        <w:t>Countywide Planning Policies (CPPs)</w:t>
      </w:r>
      <w:r w:rsidRPr="008C1DE5">
        <w:rPr>
          <w:rFonts w:ascii="Arial" w:hAnsi="Arial" w:cs="Arial"/>
        </w:rPr>
        <w:t>.</w:t>
      </w:r>
      <w:r w:rsidR="00A44CFD">
        <w:rPr>
          <w:rFonts w:ascii="Arial" w:hAnsi="Arial" w:cs="Arial"/>
        </w:rPr>
        <w:t xml:space="preserve"> </w:t>
      </w:r>
      <w:r w:rsidRPr="008C1DE5">
        <w:rPr>
          <w:rFonts w:ascii="Arial" w:hAnsi="Arial" w:cs="Arial"/>
        </w:rPr>
        <w:t>Under the GMA, the CPPs serve as the framework for each local jurisdiction’s comprehensive plan, which ensures countywide consistency with respect to land use planning efforts.</w:t>
      </w:r>
    </w:p>
    <w:p w14:paraId="7672F484" w14:textId="331B6B2F" w:rsidR="008C1DE5" w:rsidRDefault="008C1DE5" w:rsidP="0026669B">
      <w:pPr>
        <w:jc w:val="both"/>
        <w:rPr>
          <w:rFonts w:ascii="Arial" w:hAnsi="Arial" w:cs="Arial"/>
        </w:rPr>
      </w:pPr>
    </w:p>
    <w:p w14:paraId="00BB5ACF" w14:textId="712DC05D" w:rsidR="00240327" w:rsidRDefault="008C1DE5" w:rsidP="0026669B">
      <w:pPr>
        <w:jc w:val="both"/>
        <w:rPr>
          <w:rFonts w:ascii="Arial" w:hAnsi="Arial" w:cs="Arial"/>
        </w:rPr>
      </w:pPr>
      <w:r w:rsidRPr="008C1DE5">
        <w:rPr>
          <w:rFonts w:ascii="Arial" w:hAnsi="Arial" w:cs="Arial"/>
        </w:rPr>
        <w:lastRenderedPageBreak/>
        <w:t>As provided for in the interlocal agreement, the GMPC developed and recommended the original CPPs, which were adopted by the King County Council and ratified by the cities in 1992. Subsequent amendments to the CPPs follow the same adoption process, which is now outlined in CPP G-1 and includes: recommendation by the GMPC, adoption and ratification by the King County Council, and ratification by the cities. Amendments to the CPPs become effective when ratified by at least 30</w:t>
      </w:r>
      <w:r w:rsidR="004D7AFD">
        <w:rPr>
          <w:rFonts w:ascii="Arial" w:hAnsi="Arial" w:cs="Arial"/>
        </w:rPr>
        <w:t xml:space="preserve"> percent</w:t>
      </w:r>
      <w:r w:rsidRPr="008C1DE5">
        <w:rPr>
          <w:rFonts w:ascii="Arial" w:hAnsi="Arial" w:cs="Arial"/>
        </w:rPr>
        <w:t xml:space="preserve"> of the city and county governments representing at least 70</w:t>
      </w:r>
      <w:r w:rsidR="004D7AFD">
        <w:rPr>
          <w:rFonts w:ascii="Arial" w:hAnsi="Arial" w:cs="Arial"/>
        </w:rPr>
        <w:t xml:space="preserve"> percent</w:t>
      </w:r>
      <w:r w:rsidRPr="008C1DE5">
        <w:rPr>
          <w:rFonts w:ascii="Arial" w:hAnsi="Arial" w:cs="Arial"/>
        </w:rPr>
        <w:t xml:space="preserve"> of the population of King County. A city shall be deemed to have ratified an amendment to the CPPs unless the city disapproves it by legislative action within 90 days of adoption by King County.</w:t>
      </w:r>
    </w:p>
    <w:p w14:paraId="397EC608" w14:textId="4F7FE398" w:rsidR="008C1DE5" w:rsidRDefault="008C1DE5" w:rsidP="0026669B">
      <w:pPr>
        <w:jc w:val="both"/>
        <w:rPr>
          <w:rFonts w:ascii="Arial" w:hAnsi="Arial" w:cs="Arial"/>
        </w:rPr>
      </w:pPr>
    </w:p>
    <w:p w14:paraId="73E51BD8" w14:textId="582A6DBD" w:rsidR="00C52AA7" w:rsidRDefault="00F05024" w:rsidP="00C52AA7">
      <w:pPr>
        <w:pStyle w:val="BodyText"/>
        <w:jc w:val="both"/>
        <w:rPr>
          <w:rFonts w:ascii="Arial" w:hAnsi="Arial" w:cs="Arial"/>
          <w:i w:val="0"/>
          <w:szCs w:val="24"/>
        </w:rPr>
      </w:pPr>
      <w:r w:rsidRPr="00D55501">
        <w:rPr>
          <w:rFonts w:ascii="Arial" w:hAnsi="Arial" w:cs="Arial"/>
          <w:i w:val="0"/>
          <w:szCs w:val="24"/>
        </w:rPr>
        <w:t>The Urban Growth Capacity Report</w:t>
      </w:r>
      <w:r>
        <w:rPr>
          <w:rFonts w:ascii="Arial" w:hAnsi="Arial" w:cs="Arial"/>
          <w:i w:val="0"/>
          <w:szCs w:val="24"/>
        </w:rPr>
        <w:t xml:space="preserve"> (Report)</w:t>
      </w:r>
      <w:r w:rsidRPr="00D55501">
        <w:rPr>
          <w:rFonts w:ascii="Arial" w:hAnsi="Arial" w:cs="Arial"/>
          <w:i w:val="0"/>
          <w:szCs w:val="24"/>
        </w:rPr>
        <w:t xml:space="preserve"> is a required component of the Growth Management Act.</w:t>
      </w:r>
      <w:r w:rsidRPr="00551828">
        <w:rPr>
          <w:rStyle w:val="FootnoteReference"/>
          <w:rFonts w:ascii="Arial" w:hAnsi="Arial" w:cs="Arial"/>
          <w:i w:val="0"/>
          <w:szCs w:val="24"/>
        </w:rPr>
        <w:footnoteReference w:id="1"/>
      </w:r>
      <w:r>
        <w:rPr>
          <w:rFonts w:ascii="Arial" w:hAnsi="Arial" w:cs="Arial"/>
          <w:i w:val="0"/>
          <w:szCs w:val="24"/>
        </w:rPr>
        <w:t xml:space="preserve"> </w:t>
      </w:r>
      <w:r w:rsidR="00C52AA7" w:rsidRPr="00C52AA7">
        <w:rPr>
          <w:rFonts w:ascii="Arial" w:hAnsi="Arial" w:cs="Arial"/>
          <w:i w:val="0"/>
          <w:szCs w:val="24"/>
        </w:rPr>
        <w:t xml:space="preserve">The </w:t>
      </w:r>
      <w:r w:rsidR="00D55262">
        <w:rPr>
          <w:rFonts w:ascii="Arial" w:hAnsi="Arial" w:cs="Arial"/>
          <w:i w:val="0"/>
          <w:szCs w:val="24"/>
        </w:rPr>
        <w:t>R</w:t>
      </w:r>
      <w:r w:rsidR="00C52AA7" w:rsidRPr="00C52AA7">
        <w:rPr>
          <w:rFonts w:ascii="Arial" w:hAnsi="Arial" w:cs="Arial"/>
          <w:i w:val="0"/>
          <w:szCs w:val="24"/>
        </w:rPr>
        <w:t>eport is a mid-planning cycle assessment on how</w:t>
      </w:r>
      <w:r w:rsidR="00C52AA7">
        <w:rPr>
          <w:rFonts w:ascii="Arial" w:hAnsi="Arial" w:cs="Arial"/>
          <w:i w:val="0"/>
          <w:szCs w:val="24"/>
        </w:rPr>
        <w:t xml:space="preserve"> </w:t>
      </w:r>
      <w:r w:rsidR="00C52AA7" w:rsidRPr="00C52AA7">
        <w:rPr>
          <w:rFonts w:ascii="Arial" w:hAnsi="Arial" w:cs="Arial"/>
          <w:i w:val="0"/>
          <w:szCs w:val="24"/>
        </w:rPr>
        <w:t>jurisdictions are achieving the planning goals of their 2035 comprehensive plans.</w:t>
      </w:r>
      <w:r>
        <w:rPr>
          <w:rFonts w:ascii="Arial" w:hAnsi="Arial" w:cs="Arial"/>
          <w:i w:val="0"/>
          <w:szCs w:val="24"/>
        </w:rPr>
        <w:t xml:space="preserve"> </w:t>
      </w:r>
      <w:r w:rsidR="00C52AA7" w:rsidRPr="00C52AA7">
        <w:rPr>
          <w:rFonts w:ascii="Arial" w:hAnsi="Arial" w:cs="Arial"/>
          <w:i w:val="0"/>
          <w:szCs w:val="24"/>
        </w:rPr>
        <w:t xml:space="preserve">The </w:t>
      </w:r>
      <w:r>
        <w:rPr>
          <w:rFonts w:ascii="Arial" w:hAnsi="Arial" w:cs="Arial"/>
          <w:i w:val="0"/>
          <w:szCs w:val="24"/>
        </w:rPr>
        <w:t>R</w:t>
      </w:r>
      <w:r w:rsidR="00C52AA7" w:rsidRPr="00C52AA7">
        <w:rPr>
          <w:rFonts w:ascii="Arial" w:hAnsi="Arial" w:cs="Arial"/>
          <w:i w:val="0"/>
          <w:szCs w:val="24"/>
        </w:rPr>
        <w:t xml:space="preserve">eport </w:t>
      </w:r>
      <w:r>
        <w:rPr>
          <w:rFonts w:ascii="Arial" w:hAnsi="Arial" w:cs="Arial"/>
          <w:i w:val="0"/>
          <w:szCs w:val="24"/>
        </w:rPr>
        <w:t>implements the C</w:t>
      </w:r>
      <w:r w:rsidR="00C52AA7" w:rsidRPr="00C52AA7">
        <w:rPr>
          <w:rFonts w:ascii="Arial" w:hAnsi="Arial" w:cs="Arial"/>
          <w:i w:val="0"/>
          <w:szCs w:val="24"/>
        </w:rPr>
        <w:t xml:space="preserve">ounty’s Review and Evaluation Program, </w:t>
      </w:r>
      <w:r>
        <w:rPr>
          <w:rFonts w:ascii="Arial" w:hAnsi="Arial" w:cs="Arial"/>
          <w:i w:val="0"/>
          <w:szCs w:val="24"/>
        </w:rPr>
        <w:t>previously</w:t>
      </w:r>
      <w:r w:rsidR="00C52AA7" w:rsidRPr="00C52AA7">
        <w:rPr>
          <w:rFonts w:ascii="Arial" w:hAnsi="Arial" w:cs="Arial"/>
          <w:i w:val="0"/>
          <w:szCs w:val="24"/>
        </w:rPr>
        <w:t xml:space="preserve"> referred to as “Buildable</w:t>
      </w:r>
      <w:r>
        <w:rPr>
          <w:rFonts w:ascii="Arial" w:hAnsi="Arial" w:cs="Arial"/>
          <w:i w:val="0"/>
          <w:szCs w:val="24"/>
        </w:rPr>
        <w:t xml:space="preserve"> </w:t>
      </w:r>
      <w:r w:rsidR="00C52AA7" w:rsidRPr="00C52AA7">
        <w:rPr>
          <w:rFonts w:ascii="Arial" w:hAnsi="Arial" w:cs="Arial"/>
          <w:i w:val="0"/>
          <w:szCs w:val="24"/>
        </w:rPr>
        <w:t>Lands</w:t>
      </w:r>
      <w:r>
        <w:rPr>
          <w:rFonts w:ascii="Arial" w:hAnsi="Arial" w:cs="Arial"/>
          <w:i w:val="0"/>
          <w:szCs w:val="24"/>
        </w:rPr>
        <w:t>."</w:t>
      </w:r>
    </w:p>
    <w:p w14:paraId="5F1738C2" w14:textId="77777777" w:rsidR="00F05024" w:rsidRDefault="00F05024" w:rsidP="008C1DE5">
      <w:pPr>
        <w:pStyle w:val="BodyText"/>
        <w:jc w:val="both"/>
        <w:rPr>
          <w:rFonts w:ascii="Arial" w:hAnsi="Arial" w:cs="Arial"/>
          <w:i w:val="0"/>
          <w:szCs w:val="24"/>
        </w:rPr>
      </w:pPr>
    </w:p>
    <w:p w14:paraId="545BD40F" w14:textId="71EED31F" w:rsidR="00D55501" w:rsidRDefault="00D55501" w:rsidP="008C1DE5">
      <w:pPr>
        <w:pStyle w:val="BodyText"/>
        <w:jc w:val="both"/>
        <w:rPr>
          <w:rFonts w:ascii="Arial" w:hAnsi="Arial" w:cs="Arial"/>
          <w:i w:val="0"/>
          <w:szCs w:val="24"/>
        </w:rPr>
      </w:pPr>
      <w:r w:rsidRPr="00D55501">
        <w:rPr>
          <w:rFonts w:ascii="Arial" w:hAnsi="Arial" w:cs="Arial"/>
          <w:i w:val="0"/>
          <w:szCs w:val="24"/>
        </w:rPr>
        <w:t xml:space="preserve">The </w:t>
      </w:r>
      <w:r>
        <w:rPr>
          <w:rFonts w:ascii="Arial" w:hAnsi="Arial" w:cs="Arial"/>
          <w:i w:val="0"/>
          <w:szCs w:val="24"/>
        </w:rPr>
        <w:t>Urban Growth Capacity Report</w:t>
      </w:r>
      <w:r w:rsidRPr="00D55501">
        <w:rPr>
          <w:rFonts w:ascii="Arial" w:hAnsi="Arial" w:cs="Arial"/>
          <w:i w:val="0"/>
          <w:szCs w:val="24"/>
        </w:rPr>
        <w:t xml:space="preserve"> </w:t>
      </w:r>
      <w:r w:rsidR="00E45CD0">
        <w:rPr>
          <w:rFonts w:ascii="Arial" w:hAnsi="Arial" w:cs="Arial"/>
          <w:i w:val="0"/>
          <w:szCs w:val="24"/>
        </w:rPr>
        <w:t>responds to</w:t>
      </w:r>
      <w:r w:rsidRPr="00D55501">
        <w:rPr>
          <w:rFonts w:ascii="Arial" w:hAnsi="Arial" w:cs="Arial"/>
          <w:i w:val="0"/>
          <w:szCs w:val="24"/>
        </w:rPr>
        <w:t xml:space="preserve"> three questions:</w:t>
      </w:r>
    </w:p>
    <w:p w14:paraId="340A7759" w14:textId="77777777" w:rsidR="00D55501" w:rsidRPr="00D55501" w:rsidRDefault="00D55501" w:rsidP="00E45CD0">
      <w:pPr>
        <w:pStyle w:val="BodyText"/>
        <w:numPr>
          <w:ilvl w:val="0"/>
          <w:numId w:val="3"/>
        </w:numPr>
        <w:jc w:val="both"/>
        <w:rPr>
          <w:rFonts w:ascii="Arial" w:hAnsi="Arial" w:cs="Arial"/>
          <w:i w:val="0"/>
          <w:szCs w:val="24"/>
        </w:rPr>
      </w:pPr>
      <w:r w:rsidRPr="00D55501">
        <w:rPr>
          <w:rFonts w:ascii="Arial" w:hAnsi="Arial" w:cs="Arial"/>
          <w:i w:val="0"/>
          <w:szCs w:val="24"/>
        </w:rPr>
        <w:t>Is there adequate land capacity available for anticipated growth in jurisdictions and the UGA?</w:t>
      </w:r>
    </w:p>
    <w:p w14:paraId="10916DCC" w14:textId="1D71AA8F" w:rsidR="00D55501" w:rsidRPr="00D55501" w:rsidRDefault="00D55501" w:rsidP="00E45CD0">
      <w:pPr>
        <w:pStyle w:val="BodyText"/>
        <w:numPr>
          <w:ilvl w:val="0"/>
          <w:numId w:val="3"/>
        </w:numPr>
        <w:jc w:val="both"/>
        <w:rPr>
          <w:rFonts w:ascii="Arial" w:hAnsi="Arial" w:cs="Arial"/>
          <w:i w:val="0"/>
          <w:szCs w:val="24"/>
        </w:rPr>
      </w:pPr>
      <w:r w:rsidRPr="00D55501">
        <w:rPr>
          <w:rFonts w:ascii="Arial" w:hAnsi="Arial" w:cs="Arial"/>
          <w:i w:val="0"/>
          <w:szCs w:val="24"/>
        </w:rPr>
        <w:t>Are growth targets being achieved?</w:t>
      </w:r>
    </w:p>
    <w:p w14:paraId="05A236BB" w14:textId="6893A276" w:rsidR="00D55501" w:rsidRDefault="00D55501" w:rsidP="00E45CD0">
      <w:pPr>
        <w:pStyle w:val="BodyText"/>
        <w:numPr>
          <w:ilvl w:val="0"/>
          <w:numId w:val="3"/>
        </w:numPr>
        <w:jc w:val="both"/>
        <w:rPr>
          <w:rFonts w:ascii="Arial" w:hAnsi="Arial" w:cs="Arial"/>
          <w:i w:val="0"/>
          <w:szCs w:val="24"/>
        </w:rPr>
      </w:pPr>
      <w:r w:rsidRPr="00D55501">
        <w:rPr>
          <w:rFonts w:ascii="Arial" w:hAnsi="Arial" w:cs="Arial"/>
          <w:i w:val="0"/>
          <w:szCs w:val="24"/>
        </w:rPr>
        <w:t>Are urban areas achieving their planned densities?</w:t>
      </w:r>
    </w:p>
    <w:p w14:paraId="60ADF424" w14:textId="77777777" w:rsidR="00D55501" w:rsidRDefault="00D55501" w:rsidP="008C1DE5">
      <w:pPr>
        <w:pStyle w:val="BodyText"/>
        <w:jc w:val="both"/>
        <w:rPr>
          <w:rFonts w:ascii="Arial" w:hAnsi="Arial" w:cs="Arial"/>
          <w:i w:val="0"/>
          <w:szCs w:val="24"/>
        </w:rPr>
      </w:pPr>
    </w:p>
    <w:p w14:paraId="75FBF273" w14:textId="088F958F" w:rsidR="00F05024" w:rsidRDefault="00D55501" w:rsidP="008C1DE5">
      <w:pPr>
        <w:pStyle w:val="BodyText"/>
        <w:jc w:val="both"/>
        <w:rPr>
          <w:rFonts w:ascii="Arial" w:hAnsi="Arial" w:cs="Arial"/>
          <w:i w:val="0"/>
          <w:szCs w:val="24"/>
        </w:rPr>
      </w:pPr>
      <w:r w:rsidRPr="00D55501">
        <w:rPr>
          <w:rFonts w:ascii="Arial" w:hAnsi="Arial" w:cs="Arial"/>
          <w:i w:val="0"/>
          <w:szCs w:val="24"/>
        </w:rPr>
        <w:t>To answer these questions, cities and King County analyze</w:t>
      </w:r>
      <w:r w:rsidR="00B92942">
        <w:rPr>
          <w:rFonts w:ascii="Arial" w:hAnsi="Arial" w:cs="Arial"/>
          <w:i w:val="0"/>
          <w:szCs w:val="24"/>
        </w:rPr>
        <w:t>d</w:t>
      </w:r>
      <w:r w:rsidRPr="00D55501">
        <w:rPr>
          <w:rFonts w:ascii="Arial" w:hAnsi="Arial" w:cs="Arial"/>
          <w:i w:val="0"/>
          <w:szCs w:val="24"/>
        </w:rPr>
        <w:t xml:space="preserve"> recent development</w:t>
      </w:r>
      <w:r w:rsidR="00E45CD0">
        <w:rPr>
          <w:rFonts w:ascii="Arial" w:hAnsi="Arial" w:cs="Arial"/>
          <w:i w:val="0"/>
          <w:szCs w:val="24"/>
        </w:rPr>
        <w:t xml:space="preserve"> data</w:t>
      </w:r>
      <w:r w:rsidRPr="00D55501">
        <w:rPr>
          <w:rFonts w:ascii="Arial" w:hAnsi="Arial" w:cs="Arial"/>
          <w:i w:val="0"/>
          <w:szCs w:val="24"/>
        </w:rPr>
        <w:t xml:space="preserve"> to understand the densities at which development is occurring, identif</w:t>
      </w:r>
      <w:r w:rsidR="009B10FC">
        <w:rPr>
          <w:rFonts w:ascii="Arial" w:hAnsi="Arial" w:cs="Arial"/>
          <w:i w:val="0"/>
          <w:szCs w:val="24"/>
        </w:rPr>
        <w:t>ied</w:t>
      </w:r>
      <w:r w:rsidRPr="00D55501">
        <w:rPr>
          <w:rFonts w:ascii="Arial" w:hAnsi="Arial" w:cs="Arial"/>
          <w:i w:val="0"/>
          <w:szCs w:val="24"/>
        </w:rPr>
        <w:t xml:space="preserve"> vacant and redevelopable land on which future development can occur, and combine</w:t>
      </w:r>
      <w:r w:rsidR="009B10FC">
        <w:rPr>
          <w:rFonts w:ascii="Arial" w:hAnsi="Arial" w:cs="Arial"/>
          <w:i w:val="0"/>
          <w:szCs w:val="24"/>
        </w:rPr>
        <w:t>d</w:t>
      </w:r>
      <w:r w:rsidRPr="00D55501">
        <w:rPr>
          <w:rFonts w:ascii="Arial" w:hAnsi="Arial" w:cs="Arial"/>
          <w:i w:val="0"/>
          <w:szCs w:val="24"/>
        </w:rPr>
        <w:t xml:space="preserve"> this information to calculate the overall residential and non-residential capacity in the Urban Growth Area and </w:t>
      </w:r>
      <w:r w:rsidR="00E45CD0">
        <w:rPr>
          <w:rFonts w:ascii="Arial" w:hAnsi="Arial" w:cs="Arial"/>
          <w:i w:val="0"/>
          <w:szCs w:val="24"/>
        </w:rPr>
        <w:t xml:space="preserve">for </w:t>
      </w:r>
      <w:r w:rsidRPr="00D55501">
        <w:rPr>
          <w:rFonts w:ascii="Arial" w:hAnsi="Arial" w:cs="Arial"/>
          <w:i w:val="0"/>
          <w:szCs w:val="24"/>
        </w:rPr>
        <w:t>each jurisdiction.</w:t>
      </w:r>
    </w:p>
    <w:p w14:paraId="27F5A48C" w14:textId="77777777" w:rsidR="00427946" w:rsidRDefault="00427946" w:rsidP="00C52AA7">
      <w:pPr>
        <w:pStyle w:val="BodyText"/>
        <w:jc w:val="both"/>
        <w:rPr>
          <w:rFonts w:ascii="Arial" w:hAnsi="Arial" w:cs="Arial"/>
          <w:i w:val="0"/>
          <w:szCs w:val="24"/>
        </w:rPr>
      </w:pPr>
    </w:p>
    <w:p w14:paraId="792ACB14" w14:textId="3002CCFE" w:rsidR="005967F8" w:rsidRDefault="00D55501" w:rsidP="005967F8">
      <w:pPr>
        <w:pStyle w:val="BodyText"/>
        <w:jc w:val="both"/>
        <w:rPr>
          <w:rFonts w:ascii="Arial" w:hAnsi="Arial" w:cs="Arial"/>
          <w:i w:val="0"/>
          <w:szCs w:val="24"/>
        </w:rPr>
      </w:pPr>
      <w:r w:rsidRPr="00D55501">
        <w:rPr>
          <w:rFonts w:ascii="Arial" w:hAnsi="Arial" w:cs="Arial"/>
          <w:i w:val="0"/>
          <w:szCs w:val="24"/>
        </w:rPr>
        <w:t>The Report</w:t>
      </w:r>
      <w:r w:rsidR="00E45CD0" w:rsidRPr="00E45CD0">
        <w:rPr>
          <w:rFonts w:ascii="Arial" w:hAnsi="Arial" w:cs="Arial"/>
          <w:i w:val="0"/>
          <w:szCs w:val="24"/>
        </w:rPr>
        <w:t xml:space="preserve"> </w:t>
      </w:r>
      <w:r w:rsidR="00E45CD0" w:rsidRPr="00D55501">
        <w:rPr>
          <w:rFonts w:ascii="Arial" w:hAnsi="Arial" w:cs="Arial"/>
          <w:i w:val="0"/>
          <w:szCs w:val="24"/>
        </w:rPr>
        <w:t>informs the growth target setting process</w:t>
      </w:r>
      <w:r w:rsidR="00E45CD0">
        <w:rPr>
          <w:rFonts w:ascii="Arial" w:hAnsi="Arial" w:cs="Arial"/>
          <w:i w:val="0"/>
          <w:szCs w:val="24"/>
        </w:rPr>
        <w:t xml:space="preserve"> </w:t>
      </w:r>
      <w:r w:rsidR="008D6E9B">
        <w:rPr>
          <w:rFonts w:ascii="Arial" w:hAnsi="Arial" w:cs="Arial"/>
          <w:i w:val="0"/>
          <w:szCs w:val="24"/>
        </w:rPr>
        <w:t xml:space="preserve">in the 2021 Countywide Planning Policy Update </w:t>
      </w:r>
      <w:r w:rsidR="00E45CD0">
        <w:rPr>
          <w:rFonts w:ascii="Arial" w:hAnsi="Arial" w:cs="Arial"/>
          <w:i w:val="0"/>
          <w:szCs w:val="24"/>
        </w:rPr>
        <w:t xml:space="preserve">and </w:t>
      </w:r>
      <w:r w:rsidRPr="00D55501">
        <w:rPr>
          <w:rFonts w:ascii="Arial" w:hAnsi="Arial" w:cs="Arial"/>
          <w:i w:val="0"/>
          <w:szCs w:val="24"/>
        </w:rPr>
        <w:t>policy development in the</w:t>
      </w:r>
      <w:r w:rsidR="00E45CD0">
        <w:rPr>
          <w:rFonts w:ascii="Arial" w:hAnsi="Arial" w:cs="Arial"/>
          <w:i w:val="0"/>
          <w:szCs w:val="24"/>
        </w:rPr>
        <w:t xml:space="preserve"> next</w:t>
      </w:r>
      <w:r w:rsidRPr="00D55501">
        <w:rPr>
          <w:rFonts w:ascii="Arial" w:hAnsi="Arial" w:cs="Arial"/>
          <w:i w:val="0"/>
          <w:szCs w:val="24"/>
        </w:rPr>
        <w:t xml:space="preserve"> periodic update of </w:t>
      </w:r>
      <w:r w:rsidR="008D6E9B">
        <w:rPr>
          <w:rFonts w:ascii="Arial" w:hAnsi="Arial" w:cs="Arial"/>
          <w:i w:val="0"/>
          <w:szCs w:val="24"/>
        </w:rPr>
        <w:t xml:space="preserve">local </w:t>
      </w:r>
      <w:r w:rsidRPr="00D55501">
        <w:rPr>
          <w:rFonts w:ascii="Arial" w:hAnsi="Arial" w:cs="Arial"/>
          <w:i w:val="0"/>
          <w:szCs w:val="24"/>
        </w:rPr>
        <w:t>comprehensive plan</w:t>
      </w:r>
      <w:r w:rsidR="00E45CD0">
        <w:rPr>
          <w:rFonts w:ascii="Arial" w:hAnsi="Arial" w:cs="Arial"/>
          <w:i w:val="0"/>
          <w:szCs w:val="24"/>
        </w:rPr>
        <w:t>s</w:t>
      </w:r>
      <w:r w:rsidR="008D6E9B">
        <w:rPr>
          <w:rFonts w:ascii="Arial" w:hAnsi="Arial" w:cs="Arial"/>
          <w:i w:val="0"/>
          <w:szCs w:val="24"/>
        </w:rPr>
        <w:t>.</w:t>
      </w:r>
      <w:r w:rsidR="00524672">
        <w:rPr>
          <w:rFonts w:ascii="Arial" w:hAnsi="Arial" w:cs="Arial"/>
          <w:i w:val="0"/>
          <w:szCs w:val="24"/>
        </w:rPr>
        <w:t xml:space="preserve"> </w:t>
      </w:r>
      <w:r w:rsidR="00524672" w:rsidRPr="00524672">
        <w:rPr>
          <w:rFonts w:ascii="Arial" w:hAnsi="Arial" w:cs="Arial"/>
          <w:i w:val="0"/>
          <w:szCs w:val="24"/>
        </w:rPr>
        <w:t xml:space="preserve">Amendments to the Growth Management Act in 2017 expanded the </w:t>
      </w:r>
      <w:r w:rsidR="009B10FC">
        <w:rPr>
          <w:rFonts w:ascii="Arial" w:hAnsi="Arial" w:cs="Arial"/>
          <w:i w:val="0"/>
          <w:szCs w:val="24"/>
        </w:rPr>
        <w:t>scope</w:t>
      </w:r>
      <w:r w:rsidR="00524672" w:rsidRPr="00524672">
        <w:rPr>
          <w:rFonts w:ascii="Arial" w:hAnsi="Arial" w:cs="Arial"/>
          <w:i w:val="0"/>
          <w:szCs w:val="24"/>
        </w:rPr>
        <w:t xml:space="preserve"> of the </w:t>
      </w:r>
      <w:r w:rsidR="00524672">
        <w:rPr>
          <w:rFonts w:ascii="Arial" w:hAnsi="Arial" w:cs="Arial"/>
          <w:i w:val="0"/>
          <w:szCs w:val="24"/>
        </w:rPr>
        <w:t>R</w:t>
      </w:r>
      <w:r w:rsidR="00524672" w:rsidRPr="00524672">
        <w:rPr>
          <w:rFonts w:ascii="Arial" w:hAnsi="Arial" w:cs="Arial"/>
          <w:i w:val="0"/>
          <w:szCs w:val="24"/>
        </w:rPr>
        <w:t>eport beyond</w:t>
      </w:r>
      <w:r w:rsidR="00524672">
        <w:rPr>
          <w:rFonts w:ascii="Arial" w:hAnsi="Arial" w:cs="Arial"/>
          <w:i w:val="0"/>
          <w:szCs w:val="24"/>
        </w:rPr>
        <w:t xml:space="preserve"> </w:t>
      </w:r>
      <w:r w:rsidR="00524672" w:rsidRPr="00524672">
        <w:rPr>
          <w:rFonts w:ascii="Arial" w:hAnsi="Arial" w:cs="Arial"/>
          <w:i w:val="0"/>
          <w:szCs w:val="24"/>
        </w:rPr>
        <w:t>measuring capacity for projected growth</w:t>
      </w:r>
      <w:r w:rsidR="00524672">
        <w:rPr>
          <w:rFonts w:ascii="Arial" w:hAnsi="Arial" w:cs="Arial"/>
          <w:i w:val="0"/>
          <w:szCs w:val="24"/>
        </w:rPr>
        <w:t xml:space="preserve"> to </w:t>
      </w:r>
      <w:r w:rsidR="009B10FC">
        <w:rPr>
          <w:rFonts w:ascii="Arial" w:hAnsi="Arial" w:cs="Arial"/>
          <w:i w:val="0"/>
          <w:szCs w:val="24"/>
        </w:rPr>
        <w:t xml:space="preserve">also </w:t>
      </w:r>
      <w:r w:rsidR="00524672">
        <w:rPr>
          <w:rFonts w:ascii="Arial" w:hAnsi="Arial" w:cs="Arial"/>
          <w:i w:val="0"/>
          <w:szCs w:val="24"/>
        </w:rPr>
        <w:t xml:space="preserve">include </w:t>
      </w:r>
      <w:r w:rsidR="009B10FC">
        <w:rPr>
          <w:rFonts w:ascii="Arial" w:hAnsi="Arial" w:cs="Arial"/>
          <w:i w:val="0"/>
          <w:szCs w:val="24"/>
        </w:rPr>
        <w:t xml:space="preserve">an </w:t>
      </w:r>
      <w:r w:rsidR="00524672">
        <w:rPr>
          <w:rFonts w:ascii="Arial" w:hAnsi="Arial" w:cs="Arial"/>
          <w:i w:val="0"/>
          <w:szCs w:val="24"/>
        </w:rPr>
        <w:t>assessment of how jurisdictions</w:t>
      </w:r>
      <w:r w:rsidR="00524672" w:rsidRPr="00524672">
        <w:rPr>
          <w:rFonts w:ascii="Arial" w:hAnsi="Arial" w:cs="Arial"/>
          <w:i w:val="0"/>
          <w:szCs w:val="24"/>
        </w:rPr>
        <w:t xml:space="preserve"> are achieving targets and density goals</w:t>
      </w:r>
      <w:r w:rsidR="005967F8">
        <w:rPr>
          <w:rFonts w:ascii="Arial" w:hAnsi="Arial" w:cs="Arial"/>
          <w:i w:val="0"/>
          <w:szCs w:val="24"/>
        </w:rPr>
        <w:t xml:space="preserve">. </w:t>
      </w:r>
      <w:r w:rsidR="005967F8" w:rsidRPr="005967F8">
        <w:rPr>
          <w:rFonts w:ascii="Arial" w:hAnsi="Arial" w:cs="Arial"/>
          <w:i w:val="0"/>
          <w:szCs w:val="24"/>
        </w:rPr>
        <w:t>A finding that a jurisdiction has</w:t>
      </w:r>
      <w:r w:rsidR="005967F8">
        <w:rPr>
          <w:rFonts w:ascii="Arial" w:hAnsi="Arial" w:cs="Arial"/>
          <w:i w:val="0"/>
          <w:szCs w:val="24"/>
        </w:rPr>
        <w:t xml:space="preserve"> </w:t>
      </w:r>
      <w:r w:rsidR="005967F8" w:rsidRPr="005967F8">
        <w:rPr>
          <w:rFonts w:ascii="Arial" w:hAnsi="Arial" w:cs="Arial"/>
          <w:i w:val="0"/>
          <w:szCs w:val="24"/>
        </w:rPr>
        <w:t>insufficient capacity for its target, or that a jurisdiction is not achieving its growth targets or urban</w:t>
      </w:r>
      <w:r w:rsidR="005967F8">
        <w:rPr>
          <w:rFonts w:ascii="Arial" w:hAnsi="Arial" w:cs="Arial"/>
          <w:i w:val="0"/>
          <w:szCs w:val="24"/>
        </w:rPr>
        <w:t xml:space="preserve"> </w:t>
      </w:r>
      <w:r w:rsidR="005967F8" w:rsidRPr="005967F8">
        <w:rPr>
          <w:rFonts w:ascii="Arial" w:hAnsi="Arial" w:cs="Arial"/>
          <w:i w:val="0"/>
          <w:szCs w:val="24"/>
        </w:rPr>
        <w:t>densities could necessitate Reasonable Measures to be adopted in the next periodic update of</w:t>
      </w:r>
      <w:r w:rsidR="005967F8">
        <w:rPr>
          <w:rFonts w:ascii="Arial" w:hAnsi="Arial" w:cs="Arial"/>
          <w:i w:val="0"/>
          <w:szCs w:val="24"/>
        </w:rPr>
        <w:t xml:space="preserve"> </w:t>
      </w:r>
      <w:r w:rsidR="005967F8" w:rsidRPr="005967F8">
        <w:rPr>
          <w:rFonts w:ascii="Arial" w:hAnsi="Arial" w:cs="Arial"/>
          <w:i w:val="0"/>
          <w:szCs w:val="24"/>
        </w:rPr>
        <w:t xml:space="preserve">comprehensive plans. </w:t>
      </w:r>
    </w:p>
    <w:p w14:paraId="68F5A0C8" w14:textId="77777777" w:rsidR="005967F8" w:rsidRDefault="005967F8" w:rsidP="0026669B">
      <w:pPr>
        <w:jc w:val="both"/>
        <w:rPr>
          <w:rFonts w:ascii="Arial" w:hAnsi="Arial" w:cs="Arial"/>
          <w:b/>
          <w:smallCaps/>
          <w:szCs w:val="24"/>
          <w:u w:val="single"/>
        </w:rPr>
      </w:pPr>
    </w:p>
    <w:p w14:paraId="5DA3B094" w14:textId="720C9D26" w:rsidR="0026669B" w:rsidRDefault="0026669B" w:rsidP="0026669B">
      <w:pPr>
        <w:jc w:val="both"/>
        <w:rPr>
          <w:rFonts w:ascii="Arial" w:hAnsi="Arial" w:cs="Arial"/>
          <w:b/>
          <w:smallCaps/>
          <w:szCs w:val="24"/>
          <w:u w:val="single"/>
        </w:rPr>
      </w:pPr>
      <w:r>
        <w:rPr>
          <w:rFonts w:ascii="Arial" w:hAnsi="Arial" w:cs="Arial"/>
          <w:b/>
          <w:smallCaps/>
          <w:szCs w:val="24"/>
          <w:u w:val="single"/>
        </w:rPr>
        <w:t>ANALYSIS</w:t>
      </w:r>
    </w:p>
    <w:p w14:paraId="6BBA1247" w14:textId="77777777" w:rsidR="0026669B" w:rsidRPr="009931DF" w:rsidRDefault="0026669B" w:rsidP="0026669B">
      <w:pPr>
        <w:jc w:val="both"/>
        <w:rPr>
          <w:rFonts w:ascii="Arial" w:hAnsi="Arial" w:cs="Arial"/>
          <w:color w:val="FF0000"/>
        </w:rPr>
      </w:pPr>
    </w:p>
    <w:p w14:paraId="39F4B543" w14:textId="6C2FA3AE" w:rsidR="00471FBF" w:rsidRDefault="00CD520B" w:rsidP="006A3C95">
      <w:pPr>
        <w:jc w:val="both"/>
        <w:rPr>
          <w:rFonts w:ascii="Arial" w:hAnsi="Arial" w:cs="Arial"/>
          <w:spacing w:val="4"/>
          <w:szCs w:val="24"/>
        </w:rPr>
      </w:pPr>
      <w:r w:rsidRPr="00CD520B">
        <w:rPr>
          <w:rFonts w:ascii="Arial" w:hAnsi="Arial" w:cs="Arial"/>
          <w:spacing w:val="4"/>
          <w:szCs w:val="24"/>
        </w:rPr>
        <w:t xml:space="preserve">Proposed </w:t>
      </w:r>
      <w:r>
        <w:rPr>
          <w:rFonts w:ascii="Arial" w:hAnsi="Arial" w:cs="Arial"/>
          <w:spacing w:val="4"/>
          <w:szCs w:val="24"/>
        </w:rPr>
        <w:t>O</w:t>
      </w:r>
      <w:r w:rsidRPr="00CD520B">
        <w:rPr>
          <w:rFonts w:ascii="Arial" w:hAnsi="Arial" w:cs="Arial"/>
          <w:spacing w:val="4"/>
          <w:szCs w:val="24"/>
        </w:rPr>
        <w:t xml:space="preserve">rdinance </w:t>
      </w:r>
      <w:r>
        <w:rPr>
          <w:rFonts w:ascii="Arial" w:hAnsi="Arial" w:cs="Arial"/>
          <w:spacing w:val="4"/>
          <w:szCs w:val="24"/>
        </w:rPr>
        <w:t>2021-0255</w:t>
      </w:r>
      <w:r w:rsidRPr="00CD520B">
        <w:rPr>
          <w:rFonts w:ascii="Arial" w:hAnsi="Arial" w:cs="Arial"/>
          <w:spacing w:val="4"/>
          <w:szCs w:val="24"/>
        </w:rPr>
        <w:t xml:space="preserve"> would adopt the </w:t>
      </w:r>
      <w:r>
        <w:rPr>
          <w:rFonts w:ascii="Arial" w:hAnsi="Arial" w:cs="Arial"/>
          <w:spacing w:val="4"/>
          <w:szCs w:val="24"/>
        </w:rPr>
        <w:t>2021 Urban Growth Capacity Report</w:t>
      </w:r>
      <w:r w:rsidRPr="00CD520B">
        <w:rPr>
          <w:rFonts w:ascii="Arial" w:hAnsi="Arial" w:cs="Arial"/>
          <w:spacing w:val="4"/>
          <w:szCs w:val="24"/>
        </w:rPr>
        <w:t>.</w:t>
      </w:r>
      <w:r>
        <w:rPr>
          <w:rFonts w:ascii="Arial" w:hAnsi="Arial" w:cs="Arial"/>
          <w:spacing w:val="4"/>
          <w:szCs w:val="24"/>
        </w:rPr>
        <w:t xml:space="preserve"> </w:t>
      </w:r>
      <w:r w:rsidR="008D6E9B" w:rsidRPr="00A57DC0">
        <w:rPr>
          <w:rFonts w:ascii="Arial" w:hAnsi="Arial" w:cs="Arial"/>
          <w:spacing w:val="4"/>
          <w:szCs w:val="24"/>
        </w:rPr>
        <w:t xml:space="preserve">This will be King County’s fourth iteration of </w:t>
      </w:r>
      <w:r>
        <w:rPr>
          <w:rFonts w:ascii="Arial" w:hAnsi="Arial" w:cs="Arial"/>
          <w:spacing w:val="4"/>
          <w:szCs w:val="24"/>
        </w:rPr>
        <w:t>the</w:t>
      </w:r>
      <w:r w:rsidRPr="00A57DC0">
        <w:rPr>
          <w:rFonts w:ascii="Arial" w:hAnsi="Arial" w:cs="Arial"/>
          <w:spacing w:val="4"/>
          <w:szCs w:val="24"/>
        </w:rPr>
        <w:t xml:space="preserve"> Report</w:t>
      </w:r>
      <w:r w:rsidR="006878FD">
        <w:rPr>
          <w:rFonts w:ascii="Arial" w:hAnsi="Arial" w:cs="Arial"/>
          <w:spacing w:val="4"/>
          <w:szCs w:val="24"/>
        </w:rPr>
        <w:t xml:space="preserve"> - the three previous being adopted in 2002, 2007, and 2014. </w:t>
      </w:r>
    </w:p>
    <w:p w14:paraId="0AE92AF3" w14:textId="77777777" w:rsidR="00471FBF" w:rsidRDefault="00471FBF" w:rsidP="006A3C95">
      <w:pPr>
        <w:jc w:val="both"/>
        <w:rPr>
          <w:rFonts w:ascii="Arial" w:hAnsi="Arial" w:cs="Arial"/>
          <w:spacing w:val="4"/>
          <w:szCs w:val="24"/>
        </w:rPr>
      </w:pPr>
    </w:p>
    <w:p w14:paraId="56245054" w14:textId="230112CA" w:rsidR="007A4C62" w:rsidRPr="00471FBF" w:rsidRDefault="005967F8" w:rsidP="00471FBF">
      <w:pPr>
        <w:jc w:val="both"/>
        <w:rPr>
          <w:rFonts w:ascii="Arial" w:hAnsi="Arial" w:cs="Arial"/>
          <w:spacing w:val="4"/>
          <w:szCs w:val="24"/>
        </w:rPr>
      </w:pPr>
      <w:r>
        <w:rPr>
          <w:rFonts w:ascii="Arial" w:hAnsi="Arial" w:cs="Arial"/>
          <w:spacing w:val="4"/>
          <w:szCs w:val="24"/>
        </w:rPr>
        <w:t xml:space="preserve">The 2021 </w:t>
      </w:r>
      <w:r w:rsidRPr="005967F8">
        <w:rPr>
          <w:rFonts w:ascii="Arial" w:hAnsi="Arial" w:cs="Arial"/>
          <w:spacing w:val="4"/>
          <w:szCs w:val="24"/>
        </w:rPr>
        <w:t>Urban Growth Capacity Report compares estimated housing and employment growth from 2006-2018 relative to 2006-2035 growth targets, and the achieved densities of 2012-2018 development to the densities allowed in zoning and development regulations</w:t>
      </w:r>
      <w:r>
        <w:rPr>
          <w:rFonts w:ascii="Arial" w:hAnsi="Arial" w:cs="Arial"/>
          <w:spacing w:val="4"/>
          <w:szCs w:val="24"/>
        </w:rPr>
        <w:t xml:space="preserve">. Consistent with the adopted Regional Growth Strategy, </w:t>
      </w:r>
      <w:r>
        <w:rPr>
          <w:rFonts w:ascii="Arial" w:hAnsi="Arial" w:cs="Arial"/>
          <w:spacing w:val="4"/>
          <w:szCs w:val="24"/>
        </w:rPr>
        <w:lastRenderedPageBreak/>
        <w:t>f</w:t>
      </w:r>
      <w:r w:rsidR="00427946" w:rsidRPr="00427946">
        <w:rPr>
          <w:rFonts w:ascii="Arial" w:hAnsi="Arial" w:cs="Arial"/>
          <w:spacing w:val="4"/>
          <w:szCs w:val="24"/>
        </w:rPr>
        <w:t>inal capacity results and city profiles are</w:t>
      </w:r>
      <w:r w:rsidR="00427946">
        <w:rPr>
          <w:rFonts w:ascii="Arial" w:hAnsi="Arial" w:cs="Arial"/>
          <w:spacing w:val="4"/>
          <w:szCs w:val="24"/>
        </w:rPr>
        <w:t xml:space="preserve"> </w:t>
      </w:r>
      <w:r w:rsidR="00427946" w:rsidRPr="00427946">
        <w:rPr>
          <w:rFonts w:ascii="Arial" w:hAnsi="Arial" w:cs="Arial"/>
          <w:spacing w:val="4"/>
          <w:szCs w:val="24"/>
        </w:rPr>
        <w:t xml:space="preserve">grouped by </w:t>
      </w:r>
      <w:r w:rsidR="00427946">
        <w:rPr>
          <w:rFonts w:ascii="Arial" w:hAnsi="Arial" w:cs="Arial"/>
          <w:spacing w:val="4"/>
          <w:szCs w:val="24"/>
        </w:rPr>
        <w:t xml:space="preserve">the </w:t>
      </w:r>
      <w:r w:rsidR="00427946" w:rsidRPr="00427946">
        <w:rPr>
          <w:rFonts w:ascii="Arial" w:hAnsi="Arial" w:cs="Arial"/>
          <w:spacing w:val="4"/>
          <w:szCs w:val="24"/>
        </w:rPr>
        <w:t>VISION 2050 Regional Geographies</w:t>
      </w:r>
      <w:r w:rsidR="00427946">
        <w:rPr>
          <w:rFonts w:ascii="Arial" w:hAnsi="Arial" w:cs="Arial"/>
          <w:spacing w:val="4"/>
          <w:szCs w:val="24"/>
        </w:rPr>
        <w:t xml:space="preserve"> - Metropolitan Cities, Core Cities, </w:t>
      </w:r>
      <w:proofErr w:type="gramStart"/>
      <w:r w:rsidR="00427946">
        <w:rPr>
          <w:rFonts w:ascii="Arial" w:hAnsi="Arial" w:cs="Arial"/>
          <w:spacing w:val="4"/>
          <w:szCs w:val="24"/>
        </w:rPr>
        <w:t>High Capacity</w:t>
      </w:r>
      <w:proofErr w:type="gramEnd"/>
      <w:r w:rsidR="00427946">
        <w:rPr>
          <w:rFonts w:ascii="Arial" w:hAnsi="Arial" w:cs="Arial"/>
          <w:spacing w:val="4"/>
          <w:szCs w:val="24"/>
        </w:rPr>
        <w:t xml:space="preserve"> Transit Communities, Cities and Towns, and Urban Unincorporated. </w:t>
      </w:r>
    </w:p>
    <w:p w14:paraId="2AE94E53" w14:textId="77777777" w:rsidR="00A44CFD" w:rsidRDefault="00A44CFD" w:rsidP="006A3C95">
      <w:pPr>
        <w:ind w:right="-18"/>
        <w:jc w:val="both"/>
        <w:rPr>
          <w:rFonts w:ascii="Arial" w:hAnsi="Arial" w:cs="Arial"/>
          <w:i/>
        </w:rPr>
      </w:pPr>
    </w:p>
    <w:p w14:paraId="5A490337" w14:textId="70F1E31F" w:rsidR="007A4C62" w:rsidRDefault="006A3C95" w:rsidP="006A3C95">
      <w:pPr>
        <w:ind w:right="-18"/>
        <w:jc w:val="both"/>
        <w:rPr>
          <w:rFonts w:ascii="Arial" w:hAnsi="Arial" w:cs="Arial"/>
          <w:iCs/>
        </w:rPr>
      </w:pPr>
      <w:r>
        <w:rPr>
          <w:rFonts w:ascii="Arial" w:hAnsi="Arial" w:cs="Arial"/>
          <w:iCs/>
        </w:rPr>
        <w:t>The Report finds that 97% of population growth in King County since 2006 occurred in the Urban Area. This is consistent with the Regional Growth Strategy and adopted growth targets. Residential g</w:t>
      </w:r>
      <w:r w:rsidR="007A4C62">
        <w:rPr>
          <w:rFonts w:ascii="Arial" w:hAnsi="Arial" w:cs="Arial"/>
          <w:iCs/>
        </w:rPr>
        <w:t>rowth between 2012 and 2018 was driven by multifamily and higher density development.</w:t>
      </w:r>
      <w:r>
        <w:rPr>
          <w:rFonts w:ascii="Arial" w:hAnsi="Arial" w:cs="Arial"/>
          <w:iCs/>
        </w:rPr>
        <w:t xml:space="preserve"> </w:t>
      </w:r>
      <w:r w:rsidR="007A4C62">
        <w:rPr>
          <w:rFonts w:ascii="Arial" w:hAnsi="Arial" w:cs="Arial"/>
          <w:iCs/>
        </w:rPr>
        <w:t>Sixty</w:t>
      </w:r>
      <w:r>
        <w:rPr>
          <w:rFonts w:ascii="Arial" w:hAnsi="Arial" w:cs="Arial"/>
          <w:iCs/>
        </w:rPr>
        <w:t>-</w:t>
      </w:r>
      <w:r w:rsidR="007A4C62">
        <w:rPr>
          <w:rFonts w:ascii="Arial" w:hAnsi="Arial" w:cs="Arial"/>
          <w:iCs/>
        </w:rPr>
        <w:t>eight percent of housing permitted during the study period was high density</w:t>
      </w:r>
      <w:r w:rsidR="00132C2B">
        <w:rPr>
          <w:rFonts w:ascii="Arial" w:hAnsi="Arial" w:cs="Arial"/>
          <w:iCs/>
        </w:rPr>
        <w:t xml:space="preserve"> (</w:t>
      </w:r>
      <w:r w:rsidR="007A4C62">
        <w:rPr>
          <w:rFonts w:ascii="Arial" w:hAnsi="Arial" w:cs="Arial"/>
          <w:iCs/>
        </w:rPr>
        <w:t>at least 48 dwelling units per acre</w:t>
      </w:r>
      <w:r w:rsidR="00132C2B">
        <w:rPr>
          <w:rFonts w:ascii="Arial" w:hAnsi="Arial" w:cs="Arial"/>
          <w:iCs/>
        </w:rPr>
        <w:t xml:space="preserve">) </w:t>
      </w:r>
      <w:r w:rsidR="007A4C62">
        <w:rPr>
          <w:rFonts w:ascii="Arial" w:hAnsi="Arial" w:cs="Arial"/>
          <w:iCs/>
        </w:rPr>
        <w:t xml:space="preserve">and 17% was low density </w:t>
      </w:r>
      <w:r w:rsidR="00132C2B">
        <w:rPr>
          <w:rFonts w:ascii="Arial" w:hAnsi="Arial" w:cs="Arial"/>
          <w:iCs/>
        </w:rPr>
        <w:t>(</w:t>
      </w:r>
      <w:r w:rsidR="007A4C62">
        <w:rPr>
          <w:rFonts w:ascii="Arial" w:hAnsi="Arial" w:cs="Arial"/>
          <w:iCs/>
        </w:rPr>
        <w:t>below 10 dwelling units per acre</w:t>
      </w:r>
      <w:r w:rsidR="00132C2B">
        <w:rPr>
          <w:rFonts w:ascii="Arial" w:hAnsi="Arial" w:cs="Arial"/>
          <w:iCs/>
        </w:rPr>
        <w:t>)</w:t>
      </w:r>
      <w:r w:rsidR="007A4C62">
        <w:rPr>
          <w:rFonts w:ascii="Arial" w:hAnsi="Arial" w:cs="Arial"/>
          <w:iCs/>
        </w:rPr>
        <w:t xml:space="preserve">. </w:t>
      </w:r>
      <w:r w:rsidR="007A4C62" w:rsidRPr="007A4C62">
        <w:rPr>
          <w:rFonts w:ascii="Arial" w:hAnsi="Arial" w:cs="Arial"/>
          <w:iCs/>
        </w:rPr>
        <w:t>Development in middle</w:t>
      </w:r>
      <w:r w:rsidR="009B5F20">
        <w:rPr>
          <w:rFonts w:ascii="Arial" w:hAnsi="Arial" w:cs="Arial"/>
          <w:iCs/>
        </w:rPr>
        <w:t>-</w:t>
      </w:r>
      <w:r w:rsidR="007A4C62" w:rsidRPr="007A4C62">
        <w:rPr>
          <w:rFonts w:ascii="Arial" w:hAnsi="Arial" w:cs="Arial"/>
          <w:iCs/>
        </w:rPr>
        <w:t xml:space="preserve">density </w:t>
      </w:r>
      <w:r w:rsidR="00132C2B">
        <w:rPr>
          <w:rFonts w:ascii="Arial" w:hAnsi="Arial" w:cs="Arial"/>
          <w:iCs/>
        </w:rPr>
        <w:t>levels</w:t>
      </w:r>
      <w:r w:rsidR="007A4C62" w:rsidRPr="007A4C62">
        <w:rPr>
          <w:rFonts w:ascii="Arial" w:hAnsi="Arial" w:cs="Arial"/>
          <w:iCs/>
        </w:rPr>
        <w:t xml:space="preserve"> was more limited.</w:t>
      </w:r>
    </w:p>
    <w:p w14:paraId="052E76B2" w14:textId="2839B89A" w:rsidR="00471FBF" w:rsidRDefault="00471FBF" w:rsidP="006A3C95">
      <w:pPr>
        <w:ind w:right="-18"/>
        <w:jc w:val="both"/>
        <w:rPr>
          <w:rFonts w:ascii="Arial" w:hAnsi="Arial" w:cs="Arial"/>
          <w:i/>
        </w:rPr>
      </w:pPr>
    </w:p>
    <w:p w14:paraId="4D1C4E0A" w14:textId="318042C3" w:rsidR="00A44CFD" w:rsidRPr="009B5F20" w:rsidRDefault="00412F74" w:rsidP="00EE5722">
      <w:pPr>
        <w:ind w:right="-18"/>
        <w:jc w:val="both"/>
        <w:rPr>
          <w:rFonts w:ascii="Arial" w:hAnsi="Arial" w:cs="Arial"/>
          <w:b/>
          <w:bCs/>
          <w:iCs/>
        </w:rPr>
      </w:pPr>
      <w:r w:rsidRPr="009B5F20">
        <w:rPr>
          <w:rFonts w:ascii="Arial" w:hAnsi="Arial" w:cs="Arial"/>
          <w:b/>
          <w:bCs/>
          <w:iCs/>
        </w:rPr>
        <w:t>Achieving Planned Densities and Growth Targets</w:t>
      </w:r>
      <w:r w:rsidR="009B5F20">
        <w:rPr>
          <w:rFonts w:ascii="Arial" w:hAnsi="Arial" w:cs="Arial"/>
          <w:b/>
          <w:bCs/>
          <w:iCs/>
        </w:rPr>
        <w:t xml:space="preserve">. </w:t>
      </w:r>
      <w:r w:rsidR="00EC37D5">
        <w:rPr>
          <w:rFonts w:ascii="Arial" w:hAnsi="Arial" w:cs="Arial"/>
          <w:iCs/>
        </w:rPr>
        <w:t>The Report concludes that u</w:t>
      </w:r>
      <w:r w:rsidR="006A3C95" w:rsidRPr="006A3C95">
        <w:rPr>
          <w:rFonts w:ascii="Arial" w:hAnsi="Arial" w:cs="Arial"/>
          <w:iCs/>
        </w:rPr>
        <w:t xml:space="preserve">rban King County is growing at a rate </w:t>
      </w:r>
      <w:r w:rsidR="00EE5722">
        <w:rPr>
          <w:rFonts w:ascii="Arial" w:hAnsi="Arial" w:cs="Arial"/>
          <w:iCs/>
        </w:rPr>
        <w:t>that would</w:t>
      </w:r>
      <w:r w:rsidR="006A3C95" w:rsidRPr="006A3C95">
        <w:rPr>
          <w:rFonts w:ascii="Arial" w:hAnsi="Arial" w:cs="Arial"/>
          <w:iCs/>
        </w:rPr>
        <w:t xml:space="preserve"> achieve its adopted growth targets.</w:t>
      </w:r>
      <w:r w:rsidR="00EE5722">
        <w:rPr>
          <w:rFonts w:ascii="Arial" w:hAnsi="Arial" w:cs="Arial"/>
          <w:iCs/>
        </w:rPr>
        <w:t xml:space="preserve"> This is determined by comparing the percent of</w:t>
      </w:r>
      <w:r w:rsidR="009B5F20">
        <w:rPr>
          <w:rFonts w:ascii="Arial" w:hAnsi="Arial" w:cs="Arial"/>
          <w:iCs/>
        </w:rPr>
        <w:t xml:space="preserve"> the</w:t>
      </w:r>
      <w:r w:rsidR="00EE5722">
        <w:rPr>
          <w:rFonts w:ascii="Arial" w:hAnsi="Arial" w:cs="Arial"/>
          <w:iCs/>
        </w:rPr>
        <w:t xml:space="preserve"> time in the current planning period (2006-2035) that has elapsed with the percent of housing and employment targets that have been achieved.</w:t>
      </w:r>
      <w:r w:rsidR="00C91632">
        <w:rPr>
          <w:rFonts w:ascii="Arial" w:hAnsi="Arial" w:cs="Arial"/>
          <w:iCs/>
        </w:rPr>
        <w:t xml:space="preserve"> A</w:t>
      </w:r>
      <w:r w:rsidR="006A3C95" w:rsidRPr="006A3C95">
        <w:rPr>
          <w:rFonts w:ascii="Arial" w:hAnsi="Arial" w:cs="Arial"/>
          <w:iCs/>
        </w:rPr>
        <w:t>pproximately 41% of the target period</w:t>
      </w:r>
      <w:r w:rsidR="00EE5722">
        <w:rPr>
          <w:rFonts w:ascii="Arial" w:hAnsi="Arial" w:cs="Arial"/>
          <w:iCs/>
        </w:rPr>
        <w:t xml:space="preserve"> (2006-2035) </w:t>
      </w:r>
      <w:r w:rsidR="00C91632">
        <w:rPr>
          <w:rFonts w:ascii="Arial" w:hAnsi="Arial" w:cs="Arial"/>
          <w:iCs/>
        </w:rPr>
        <w:t xml:space="preserve">has </w:t>
      </w:r>
      <w:r w:rsidR="00671215">
        <w:rPr>
          <w:rFonts w:ascii="Arial" w:hAnsi="Arial" w:cs="Arial"/>
          <w:iCs/>
        </w:rPr>
        <w:t>elapsed</w:t>
      </w:r>
      <w:r w:rsidR="00C91632">
        <w:rPr>
          <w:rFonts w:ascii="Arial" w:hAnsi="Arial" w:cs="Arial"/>
          <w:iCs/>
        </w:rPr>
        <w:t xml:space="preserve"> and</w:t>
      </w:r>
      <w:r w:rsidR="00EE5722">
        <w:rPr>
          <w:rFonts w:ascii="Arial" w:hAnsi="Arial" w:cs="Arial"/>
          <w:iCs/>
        </w:rPr>
        <w:t xml:space="preserve"> </w:t>
      </w:r>
      <w:r w:rsidR="006A3C95" w:rsidRPr="006A3C95">
        <w:rPr>
          <w:rFonts w:ascii="Arial" w:hAnsi="Arial" w:cs="Arial"/>
          <w:iCs/>
        </w:rPr>
        <w:t>urban King County has</w:t>
      </w:r>
      <w:r w:rsidR="006A3C95">
        <w:rPr>
          <w:rFonts w:ascii="Arial" w:hAnsi="Arial" w:cs="Arial"/>
          <w:iCs/>
        </w:rPr>
        <w:t xml:space="preserve"> </w:t>
      </w:r>
      <w:r w:rsidR="006A3C95" w:rsidRPr="006A3C95">
        <w:rPr>
          <w:rFonts w:ascii="Arial" w:hAnsi="Arial" w:cs="Arial"/>
          <w:iCs/>
        </w:rPr>
        <w:t xml:space="preserve">achieved 47% of its housing and employment targets, growing slightly faster than </w:t>
      </w:r>
      <w:r w:rsidR="00C91632">
        <w:rPr>
          <w:rFonts w:ascii="Arial" w:hAnsi="Arial" w:cs="Arial"/>
          <w:iCs/>
        </w:rPr>
        <w:t>the</w:t>
      </w:r>
      <w:r w:rsidR="006A3C95" w:rsidRPr="006A3C95">
        <w:rPr>
          <w:rFonts w:ascii="Arial" w:hAnsi="Arial" w:cs="Arial"/>
          <w:iCs/>
        </w:rPr>
        <w:t xml:space="preserve"> prorated pace.</w:t>
      </w:r>
      <w:r w:rsidR="00A44CFD">
        <w:rPr>
          <w:rFonts w:ascii="Arial" w:hAnsi="Arial" w:cs="Arial"/>
          <w:iCs/>
        </w:rPr>
        <w:t xml:space="preserve"> </w:t>
      </w:r>
    </w:p>
    <w:p w14:paraId="2490944A" w14:textId="77777777" w:rsidR="00A44CFD" w:rsidRDefault="00A44CFD" w:rsidP="00EE5722">
      <w:pPr>
        <w:ind w:right="-18"/>
        <w:jc w:val="both"/>
        <w:rPr>
          <w:rFonts w:ascii="Arial" w:hAnsi="Arial" w:cs="Arial"/>
          <w:iCs/>
        </w:rPr>
      </w:pPr>
    </w:p>
    <w:p w14:paraId="42B93273" w14:textId="68788C7F" w:rsidR="00EE5722" w:rsidRDefault="00EE5722" w:rsidP="00EE5722">
      <w:pPr>
        <w:ind w:right="-18"/>
        <w:jc w:val="both"/>
        <w:rPr>
          <w:rFonts w:ascii="Arial" w:hAnsi="Arial" w:cs="Arial"/>
          <w:iCs/>
        </w:rPr>
      </w:pPr>
      <w:r w:rsidRPr="00EE5722">
        <w:rPr>
          <w:rFonts w:ascii="Arial" w:hAnsi="Arial" w:cs="Arial"/>
          <w:iCs/>
        </w:rPr>
        <w:t>At a Regional</w:t>
      </w:r>
      <w:r w:rsidR="00A44CFD">
        <w:rPr>
          <w:rFonts w:ascii="Arial" w:hAnsi="Arial" w:cs="Arial"/>
          <w:iCs/>
        </w:rPr>
        <w:t xml:space="preserve"> </w:t>
      </w:r>
      <w:r w:rsidRPr="00EE5722">
        <w:rPr>
          <w:rFonts w:ascii="Arial" w:hAnsi="Arial" w:cs="Arial"/>
          <w:iCs/>
        </w:rPr>
        <w:t>Geography level, Metropolitan, Larger, and Small Cities grew faster than the pace needed to achieve</w:t>
      </w:r>
      <w:r w:rsidR="00A44CFD">
        <w:rPr>
          <w:rFonts w:ascii="Arial" w:hAnsi="Arial" w:cs="Arial"/>
          <w:iCs/>
        </w:rPr>
        <w:t xml:space="preserve"> </w:t>
      </w:r>
      <w:r w:rsidRPr="00EE5722">
        <w:rPr>
          <w:rFonts w:ascii="Arial" w:hAnsi="Arial" w:cs="Arial"/>
          <w:iCs/>
        </w:rPr>
        <w:t>growth targets.</w:t>
      </w:r>
      <w:r w:rsidR="00B02F99">
        <w:rPr>
          <w:rStyle w:val="FootnoteReference"/>
          <w:rFonts w:ascii="Arial" w:hAnsi="Arial" w:cs="Arial"/>
          <w:iCs/>
        </w:rPr>
        <w:footnoteReference w:id="2"/>
      </w:r>
      <w:r w:rsidRPr="00EE5722">
        <w:rPr>
          <w:rFonts w:ascii="Arial" w:hAnsi="Arial" w:cs="Arial"/>
          <w:iCs/>
        </w:rPr>
        <w:t xml:space="preserve"> Job growth compared to targets was also strong in Metropolitan and Small Cities.</w:t>
      </w:r>
      <w:r w:rsidR="00A44CFD">
        <w:rPr>
          <w:rFonts w:ascii="Arial" w:hAnsi="Arial" w:cs="Arial"/>
          <w:iCs/>
        </w:rPr>
        <w:t xml:space="preserve"> </w:t>
      </w:r>
      <w:r w:rsidR="00671215">
        <w:rPr>
          <w:rFonts w:ascii="Arial" w:hAnsi="Arial" w:cs="Arial"/>
          <w:iCs/>
        </w:rPr>
        <w:t>H</w:t>
      </w:r>
      <w:r w:rsidRPr="00EE5722">
        <w:rPr>
          <w:rFonts w:ascii="Arial" w:hAnsi="Arial" w:cs="Arial"/>
          <w:iCs/>
        </w:rPr>
        <w:t xml:space="preserve">ousing growth </w:t>
      </w:r>
      <w:r w:rsidR="00671215">
        <w:rPr>
          <w:rFonts w:ascii="Arial" w:hAnsi="Arial" w:cs="Arial"/>
          <w:iCs/>
        </w:rPr>
        <w:t>was</w:t>
      </w:r>
      <w:r w:rsidRPr="00EE5722">
        <w:rPr>
          <w:rFonts w:ascii="Arial" w:hAnsi="Arial" w:cs="Arial"/>
          <w:iCs/>
        </w:rPr>
        <w:t xml:space="preserve"> less strong in Core Cities and the urban unincorporated area, </w:t>
      </w:r>
      <w:r w:rsidR="00671215">
        <w:rPr>
          <w:rFonts w:ascii="Arial" w:hAnsi="Arial" w:cs="Arial"/>
          <w:iCs/>
        </w:rPr>
        <w:t xml:space="preserve">but </w:t>
      </w:r>
      <w:r w:rsidRPr="00EE5722">
        <w:rPr>
          <w:rFonts w:ascii="Arial" w:hAnsi="Arial" w:cs="Arial"/>
          <w:iCs/>
        </w:rPr>
        <w:t>these</w:t>
      </w:r>
      <w:r w:rsidR="00A44CFD">
        <w:rPr>
          <w:rFonts w:ascii="Arial" w:hAnsi="Arial" w:cs="Arial"/>
          <w:iCs/>
        </w:rPr>
        <w:t xml:space="preserve"> </w:t>
      </w:r>
      <w:r w:rsidRPr="00EE5722">
        <w:rPr>
          <w:rFonts w:ascii="Arial" w:hAnsi="Arial" w:cs="Arial"/>
          <w:iCs/>
        </w:rPr>
        <w:t>geographies are still on track to achieve their residential growth targets. Employment growth in Core</w:t>
      </w:r>
      <w:r w:rsidR="00A44CFD">
        <w:rPr>
          <w:rFonts w:ascii="Arial" w:hAnsi="Arial" w:cs="Arial"/>
          <w:iCs/>
        </w:rPr>
        <w:t xml:space="preserve"> </w:t>
      </w:r>
      <w:r w:rsidRPr="00EE5722">
        <w:rPr>
          <w:rFonts w:ascii="Arial" w:hAnsi="Arial" w:cs="Arial"/>
          <w:iCs/>
        </w:rPr>
        <w:t>and Larger Cities was slower</w:t>
      </w:r>
      <w:r w:rsidR="00671215">
        <w:rPr>
          <w:rFonts w:ascii="Arial" w:hAnsi="Arial" w:cs="Arial"/>
          <w:iCs/>
        </w:rPr>
        <w:t xml:space="preserve"> than </w:t>
      </w:r>
      <w:r w:rsidR="007141CB">
        <w:rPr>
          <w:rFonts w:ascii="Arial" w:hAnsi="Arial" w:cs="Arial"/>
          <w:iCs/>
        </w:rPr>
        <w:t>targeted</w:t>
      </w:r>
      <w:r w:rsidRPr="00EE5722">
        <w:rPr>
          <w:rFonts w:ascii="Arial" w:hAnsi="Arial" w:cs="Arial"/>
          <w:iCs/>
        </w:rPr>
        <w:t xml:space="preserve"> but meets the countywide definition of consistency with</w:t>
      </w:r>
      <w:r w:rsidR="00A44CFD">
        <w:rPr>
          <w:rFonts w:ascii="Arial" w:hAnsi="Arial" w:cs="Arial"/>
          <w:iCs/>
        </w:rPr>
        <w:t xml:space="preserve"> </w:t>
      </w:r>
      <w:r w:rsidRPr="00EE5722">
        <w:rPr>
          <w:rFonts w:ascii="Arial" w:hAnsi="Arial" w:cs="Arial"/>
          <w:iCs/>
        </w:rPr>
        <w:t>growth targets</w:t>
      </w:r>
      <w:r w:rsidR="00A44CFD">
        <w:rPr>
          <w:rFonts w:ascii="Arial" w:hAnsi="Arial" w:cs="Arial"/>
          <w:iCs/>
        </w:rPr>
        <w:t>.</w:t>
      </w:r>
      <w:r w:rsidR="004A7A90">
        <w:rPr>
          <w:rStyle w:val="FootnoteReference"/>
          <w:rFonts w:ascii="Arial" w:hAnsi="Arial" w:cs="Arial"/>
          <w:iCs/>
        </w:rPr>
        <w:footnoteReference w:id="3"/>
      </w:r>
      <w:r w:rsidR="00A44CFD">
        <w:rPr>
          <w:rFonts w:ascii="Arial" w:hAnsi="Arial" w:cs="Arial"/>
          <w:iCs/>
        </w:rPr>
        <w:t xml:space="preserve"> </w:t>
      </w:r>
      <w:r w:rsidRPr="00EE5722">
        <w:rPr>
          <w:rFonts w:ascii="Arial" w:hAnsi="Arial" w:cs="Arial"/>
          <w:iCs/>
        </w:rPr>
        <w:t xml:space="preserve">The urban unincorporated area </w:t>
      </w:r>
      <w:r w:rsidR="00A44CFD">
        <w:rPr>
          <w:rFonts w:ascii="Arial" w:hAnsi="Arial" w:cs="Arial"/>
          <w:iCs/>
        </w:rPr>
        <w:t>is</w:t>
      </w:r>
      <w:r w:rsidRPr="00EE5722">
        <w:rPr>
          <w:rFonts w:ascii="Arial" w:hAnsi="Arial" w:cs="Arial"/>
          <w:iCs/>
        </w:rPr>
        <w:t xml:space="preserve"> slightly ahead of pace to achieve its</w:t>
      </w:r>
      <w:r w:rsidR="00A44CFD">
        <w:rPr>
          <w:rFonts w:ascii="Arial" w:hAnsi="Arial" w:cs="Arial"/>
          <w:iCs/>
        </w:rPr>
        <w:t xml:space="preserve"> </w:t>
      </w:r>
      <w:r w:rsidRPr="00EE5722">
        <w:rPr>
          <w:rFonts w:ascii="Arial" w:hAnsi="Arial" w:cs="Arial"/>
          <w:iCs/>
        </w:rPr>
        <w:t>employment growth target.</w:t>
      </w:r>
    </w:p>
    <w:p w14:paraId="557A197A" w14:textId="77777777" w:rsidR="00EE5722" w:rsidRDefault="00EE5722" w:rsidP="006A3C95">
      <w:pPr>
        <w:ind w:right="-18"/>
        <w:jc w:val="both"/>
        <w:rPr>
          <w:rFonts w:ascii="Arial" w:hAnsi="Arial" w:cs="Arial"/>
          <w:iCs/>
        </w:rPr>
      </w:pPr>
    </w:p>
    <w:p w14:paraId="2E0DFA82" w14:textId="5C181DE4" w:rsidR="00C52AA7" w:rsidRPr="009B5F20" w:rsidRDefault="0058031D" w:rsidP="006A3C95">
      <w:pPr>
        <w:ind w:right="-18"/>
        <w:jc w:val="both"/>
        <w:rPr>
          <w:rFonts w:ascii="Arial" w:hAnsi="Arial" w:cs="Arial"/>
          <w:i/>
        </w:rPr>
      </w:pPr>
      <w:r w:rsidRPr="009B5F20">
        <w:rPr>
          <w:rFonts w:ascii="Arial" w:hAnsi="Arial" w:cs="Arial"/>
          <w:b/>
          <w:bCs/>
          <w:iCs/>
        </w:rPr>
        <w:t>Development Capacity</w:t>
      </w:r>
      <w:r w:rsidR="009B5F20" w:rsidRPr="009B5F20">
        <w:rPr>
          <w:rFonts w:ascii="Arial" w:hAnsi="Arial" w:cs="Arial"/>
          <w:b/>
          <w:bCs/>
          <w:iCs/>
        </w:rPr>
        <w:t>.</w:t>
      </w:r>
      <w:r w:rsidR="009B5F20">
        <w:rPr>
          <w:rFonts w:ascii="Arial" w:hAnsi="Arial" w:cs="Arial"/>
          <w:i/>
        </w:rPr>
        <w:t xml:space="preserve"> </w:t>
      </w:r>
      <w:r w:rsidRPr="0058031D">
        <w:rPr>
          <w:rFonts w:ascii="Arial" w:hAnsi="Arial" w:cs="Arial"/>
          <w:iCs/>
        </w:rPr>
        <w:t>The 2021 Urban Growth Capacity Report finds that urban King County has capacity for over 400,000</w:t>
      </w:r>
      <w:r>
        <w:rPr>
          <w:rFonts w:ascii="Arial" w:hAnsi="Arial" w:cs="Arial"/>
          <w:iCs/>
        </w:rPr>
        <w:t xml:space="preserve"> </w:t>
      </w:r>
      <w:r w:rsidRPr="0058031D">
        <w:rPr>
          <w:rFonts w:ascii="Arial" w:hAnsi="Arial" w:cs="Arial"/>
          <w:iCs/>
        </w:rPr>
        <w:t>housing units and 600,000 jobs</w:t>
      </w:r>
      <w:r>
        <w:rPr>
          <w:rFonts w:ascii="Arial" w:hAnsi="Arial" w:cs="Arial"/>
          <w:iCs/>
        </w:rPr>
        <w:t>.</w:t>
      </w:r>
      <w:r w:rsidR="006A3C95">
        <w:rPr>
          <w:rFonts w:ascii="Arial" w:hAnsi="Arial" w:cs="Arial"/>
          <w:iCs/>
        </w:rPr>
        <w:t xml:space="preserve"> </w:t>
      </w:r>
      <w:r>
        <w:rPr>
          <w:rFonts w:ascii="Arial" w:hAnsi="Arial" w:cs="Arial"/>
          <w:iCs/>
        </w:rPr>
        <w:t xml:space="preserve">This is </w:t>
      </w:r>
      <w:r w:rsidRPr="0058031D">
        <w:rPr>
          <w:rFonts w:ascii="Arial" w:hAnsi="Arial" w:cs="Arial"/>
          <w:iCs/>
        </w:rPr>
        <w:t>sufficient capacity to accommodate the remainder of its 2035 housing</w:t>
      </w:r>
      <w:r>
        <w:rPr>
          <w:rFonts w:ascii="Arial" w:hAnsi="Arial" w:cs="Arial"/>
          <w:iCs/>
        </w:rPr>
        <w:t xml:space="preserve"> </w:t>
      </w:r>
      <w:r w:rsidRPr="0058031D">
        <w:rPr>
          <w:rFonts w:ascii="Arial" w:hAnsi="Arial" w:cs="Arial"/>
          <w:iCs/>
        </w:rPr>
        <w:t>and employment growth targets</w:t>
      </w:r>
      <w:r>
        <w:rPr>
          <w:rFonts w:ascii="Arial" w:hAnsi="Arial" w:cs="Arial"/>
          <w:iCs/>
        </w:rPr>
        <w:t xml:space="preserve"> and </w:t>
      </w:r>
      <w:r w:rsidRPr="0058031D">
        <w:rPr>
          <w:rFonts w:ascii="Arial" w:hAnsi="Arial" w:cs="Arial"/>
          <w:iCs/>
        </w:rPr>
        <w:t xml:space="preserve">projected future growth </w:t>
      </w:r>
      <w:r>
        <w:rPr>
          <w:rFonts w:ascii="Arial" w:hAnsi="Arial" w:cs="Arial"/>
          <w:iCs/>
        </w:rPr>
        <w:t>in</w:t>
      </w:r>
      <w:r w:rsidRPr="0058031D">
        <w:rPr>
          <w:rFonts w:ascii="Arial" w:hAnsi="Arial" w:cs="Arial"/>
          <w:iCs/>
        </w:rPr>
        <w:t xml:space="preserve"> the next</w:t>
      </w:r>
      <w:r>
        <w:rPr>
          <w:rFonts w:ascii="Arial" w:hAnsi="Arial" w:cs="Arial"/>
          <w:iCs/>
        </w:rPr>
        <w:t xml:space="preserve"> </w:t>
      </w:r>
      <w:r w:rsidRPr="0058031D">
        <w:rPr>
          <w:rFonts w:ascii="Arial" w:hAnsi="Arial" w:cs="Arial"/>
          <w:iCs/>
        </w:rPr>
        <w:t>planning period</w:t>
      </w:r>
      <w:r w:rsidR="00024863">
        <w:rPr>
          <w:rFonts w:ascii="Arial" w:hAnsi="Arial" w:cs="Arial"/>
          <w:iCs/>
        </w:rPr>
        <w:t xml:space="preserve"> (2019-2044).</w:t>
      </w:r>
    </w:p>
    <w:p w14:paraId="4CB85969" w14:textId="542E2CED" w:rsidR="0058031D" w:rsidRDefault="0058031D" w:rsidP="006A3C95">
      <w:pPr>
        <w:ind w:right="-18"/>
        <w:jc w:val="both"/>
        <w:rPr>
          <w:rFonts w:ascii="Arial" w:hAnsi="Arial" w:cs="Arial"/>
          <w:iCs/>
        </w:rPr>
      </w:pPr>
    </w:p>
    <w:p w14:paraId="6357F457" w14:textId="5C4D5948" w:rsidR="00471FBF" w:rsidRDefault="0058031D" w:rsidP="00471FBF">
      <w:pPr>
        <w:ind w:right="-18"/>
        <w:jc w:val="both"/>
        <w:rPr>
          <w:rFonts w:ascii="Arial" w:hAnsi="Arial" w:cs="Arial"/>
          <w:iCs/>
        </w:rPr>
      </w:pPr>
      <w:r w:rsidRPr="0058031D">
        <w:rPr>
          <w:rFonts w:ascii="Arial" w:hAnsi="Arial" w:cs="Arial"/>
          <w:iCs/>
        </w:rPr>
        <w:t>Approximately 50% of residential and 60% of employment capacity in King County is in Metropolitan</w:t>
      </w:r>
      <w:r>
        <w:rPr>
          <w:rFonts w:ascii="Arial" w:hAnsi="Arial" w:cs="Arial"/>
          <w:iCs/>
        </w:rPr>
        <w:t xml:space="preserve"> </w:t>
      </w:r>
      <w:r w:rsidRPr="0058031D">
        <w:rPr>
          <w:rFonts w:ascii="Arial" w:hAnsi="Arial" w:cs="Arial"/>
          <w:iCs/>
        </w:rPr>
        <w:t>Citie</w:t>
      </w:r>
      <w:r>
        <w:rPr>
          <w:rFonts w:ascii="Arial" w:hAnsi="Arial" w:cs="Arial"/>
          <w:iCs/>
        </w:rPr>
        <w:t>s - Seattle and Bellevue</w:t>
      </w:r>
      <w:r w:rsidR="00471FBF">
        <w:rPr>
          <w:rFonts w:ascii="Arial" w:hAnsi="Arial" w:cs="Arial"/>
          <w:iCs/>
        </w:rPr>
        <w:t xml:space="preserve"> - </w:t>
      </w:r>
      <w:r w:rsidR="00471FBF" w:rsidRPr="00471FBF">
        <w:rPr>
          <w:rFonts w:ascii="Arial" w:hAnsi="Arial" w:cs="Arial"/>
          <w:iCs/>
        </w:rPr>
        <w:t xml:space="preserve">with another 32% of capacity located in </w:t>
      </w:r>
      <w:r w:rsidR="00471FBF">
        <w:rPr>
          <w:rFonts w:ascii="Arial" w:hAnsi="Arial" w:cs="Arial"/>
          <w:iCs/>
        </w:rPr>
        <w:t xml:space="preserve">the </w:t>
      </w:r>
      <w:r w:rsidR="00471FBF" w:rsidRPr="00471FBF">
        <w:rPr>
          <w:rFonts w:ascii="Arial" w:hAnsi="Arial" w:cs="Arial"/>
          <w:iCs/>
        </w:rPr>
        <w:t>Core Cities.</w:t>
      </w:r>
      <w:r w:rsidR="00471FBF">
        <w:rPr>
          <w:rFonts w:ascii="Arial" w:hAnsi="Arial" w:cs="Arial"/>
          <w:iCs/>
        </w:rPr>
        <w:t xml:space="preserve"> </w:t>
      </w:r>
      <w:r w:rsidR="00671215">
        <w:rPr>
          <w:rFonts w:ascii="Arial" w:hAnsi="Arial" w:cs="Arial"/>
          <w:iCs/>
        </w:rPr>
        <w:t>Twenty percent</w:t>
      </w:r>
      <w:r w:rsidR="00471FBF" w:rsidRPr="00471FBF">
        <w:rPr>
          <w:rFonts w:ascii="Arial" w:hAnsi="Arial" w:cs="Arial"/>
          <w:iCs/>
        </w:rPr>
        <w:t xml:space="preserve"> of housing capacity and less than 9% of all job capacity</w:t>
      </w:r>
      <w:r w:rsidR="00471FBF">
        <w:rPr>
          <w:rFonts w:ascii="Arial" w:hAnsi="Arial" w:cs="Arial"/>
          <w:iCs/>
        </w:rPr>
        <w:t xml:space="preserve"> </w:t>
      </w:r>
      <w:r w:rsidR="00471FBF" w:rsidRPr="00471FBF">
        <w:rPr>
          <w:rFonts w:ascii="Arial" w:hAnsi="Arial" w:cs="Arial"/>
          <w:iCs/>
        </w:rPr>
        <w:t xml:space="preserve">is located in the </w:t>
      </w:r>
      <w:proofErr w:type="gramStart"/>
      <w:r w:rsidR="00471FBF">
        <w:rPr>
          <w:rFonts w:ascii="Arial" w:hAnsi="Arial" w:cs="Arial"/>
          <w:iCs/>
        </w:rPr>
        <w:t>High Capacity</w:t>
      </w:r>
      <w:proofErr w:type="gramEnd"/>
      <w:r w:rsidR="00471FBF">
        <w:rPr>
          <w:rFonts w:ascii="Arial" w:hAnsi="Arial" w:cs="Arial"/>
          <w:iCs/>
        </w:rPr>
        <w:t xml:space="preserve"> Transit (HCT)</w:t>
      </w:r>
      <w:r w:rsidR="00471FBF" w:rsidRPr="00471FBF">
        <w:rPr>
          <w:rFonts w:ascii="Arial" w:hAnsi="Arial" w:cs="Arial"/>
          <w:iCs/>
        </w:rPr>
        <w:t xml:space="preserve"> Communities, Cities &amp; Towns, or Urban Unincorporated categories. HCT</w:t>
      </w:r>
      <w:r w:rsidR="00471FBF">
        <w:rPr>
          <w:rFonts w:ascii="Arial" w:hAnsi="Arial" w:cs="Arial"/>
          <w:iCs/>
        </w:rPr>
        <w:t xml:space="preserve"> </w:t>
      </w:r>
      <w:r w:rsidR="00471FBF" w:rsidRPr="00471FBF">
        <w:rPr>
          <w:rFonts w:ascii="Arial" w:hAnsi="Arial" w:cs="Arial"/>
          <w:iCs/>
        </w:rPr>
        <w:t xml:space="preserve">Communities have a higher relative share of housing capacity with 12% of </w:t>
      </w:r>
      <w:r w:rsidR="009B5F20">
        <w:rPr>
          <w:rFonts w:ascii="Arial" w:hAnsi="Arial" w:cs="Arial"/>
          <w:iCs/>
        </w:rPr>
        <w:t xml:space="preserve">the </w:t>
      </w:r>
      <w:r w:rsidR="00471FBF" w:rsidRPr="00471FBF">
        <w:rPr>
          <w:rFonts w:ascii="Arial" w:hAnsi="Arial" w:cs="Arial"/>
          <w:iCs/>
        </w:rPr>
        <w:t>countywide total,</w:t>
      </w:r>
      <w:r w:rsidR="00471FBF">
        <w:rPr>
          <w:rFonts w:ascii="Arial" w:hAnsi="Arial" w:cs="Arial"/>
          <w:iCs/>
        </w:rPr>
        <w:t xml:space="preserve"> </w:t>
      </w:r>
      <w:r w:rsidR="00471FBF" w:rsidRPr="00471FBF">
        <w:rPr>
          <w:rFonts w:ascii="Arial" w:hAnsi="Arial" w:cs="Arial"/>
          <w:iCs/>
        </w:rPr>
        <w:t>compared to only 3% of countywide job capacity.</w:t>
      </w:r>
      <w:r w:rsidR="00671215">
        <w:rPr>
          <w:rFonts w:ascii="Arial" w:hAnsi="Arial" w:cs="Arial"/>
          <w:iCs/>
        </w:rPr>
        <w:t xml:space="preserve"> </w:t>
      </w:r>
    </w:p>
    <w:p w14:paraId="12FC9D6D" w14:textId="77777777" w:rsidR="00471FBF" w:rsidRDefault="00471FBF" w:rsidP="00A71B04">
      <w:pPr>
        <w:keepNext/>
        <w:ind w:right="-18"/>
        <w:jc w:val="center"/>
      </w:pPr>
      <w:r>
        <w:rPr>
          <w:noProof/>
        </w:rPr>
        <w:lastRenderedPageBreak/>
        <w:drawing>
          <wp:inline distT="0" distB="0" distL="0" distR="0" wp14:anchorId="2251D2E3" wp14:editId="38140CCE">
            <wp:extent cx="4419600"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19600" cy="1409700"/>
                    </a:xfrm>
                    <a:prstGeom prst="rect">
                      <a:avLst/>
                    </a:prstGeom>
                  </pic:spPr>
                </pic:pic>
              </a:graphicData>
            </a:graphic>
          </wp:inline>
        </w:drawing>
      </w:r>
    </w:p>
    <w:p w14:paraId="6DCA0D0C" w14:textId="5DEF24E7" w:rsidR="006A3C95" w:rsidRPr="00A71B04" w:rsidRDefault="00471FBF" w:rsidP="00A71B04">
      <w:pPr>
        <w:pStyle w:val="Caption"/>
        <w:jc w:val="center"/>
        <w:rPr>
          <w:rFonts w:ascii="Arial" w:hAnsi="Arial" w:cs="Arial"/>
          <w:i w:val="0"/>
          <w:iCs w:val="0"/>
          <w:color w:val="auto"/>
        </w:rPr>
      </w:pPr>
      <w:r w:rsidRPr="00A71B04">
        <w:rPr>
          <w:rFonts w:ascii="Arial" w:hAnsi="Arial" w:cs="Arial"/>
          <w:i w:val="0"/>
          <w:iCs w:val="0"/>
          <w:color w:val="auto"/>
        </w:rPr>
        <w:t xml:space="preserve">Figure </w:t>
      </w:r>
      <w:r w:rsidR="007141CB" w:rsidRPr="00A71B04">
        <w:rPr>
          <w:rFonts w:ascii="Arial" w:hAnsi="Arial" w:cs="Arial"/>
          <w:i w:val="0"/>
          <w:iCs w:val="0"/>
          <w:color w:val="auto"/>
        </w:rPr>
        <w:fldChar w:fldCharType="begin"/>
      </w:r>
      <w:r w:rsidR="007141CB" w:rsidRPr="00A71B04">
        <w:rPr>
          <w:rFonts w:ascii="Arial" w:hAnsi="Arial" w:cs="Arial"/>
          <w:i w:val="0"/>
          <w:iCs w:val="0"/>
          <w:color w:val="auto"/>
        </w:rPr>
        <w:instrText xml:space="preserve"> SEQ Figure \* ARABIC </w:instrText>
      </w:r>
      <w:r w:rsidR="007141CB" w:rsidRPr="00A71B04">
        <w:rPr>
          <w:rFonts w:ascii="Arial" w:hAnsi="Arial" w:cs="Arial"/>
          <w:i w:val="0"/>
          <w:iCs w:val="0"/>
          <w:color w:val="auto"/>
        </w:rPr>
        <w:fldChar w:fldCharType="separate"/>
      </w:r>
      <w:r w:rsidRPr="00A71B04">
        <w:rPr>
          <w:rFonts w:ascii="Arial" w:hAnsi="Arial" w:cs="Arial"/>
          <w:i w:val="0"/>
          <w:iCs w:val="0"/>
          <w:noProof/>
          <w:color w:val="auto"/>
        </w:rPr>
        <w:t>1</w:t>
      </w:r>
      <w:r w:rsidR="007141CB" w:rsidRPr="00A71B04">
        <w:rPr>
          <w:rFonts w:ascii="Arial" w:hAnsi="Arial" w:cs="Arial"/>
          <w:i w:val="0"/>
          <w:iCs w:val="0"/>
          <w:noProof/>
          <w:color w:val="auto"/>
        </w:rPr>
        <w:fldChar w:fldCharType="end"/>
      </w:r>
      <w:r w:rsidRPr="00A71B04">
        <w:rPr>
          <w:rFonts w:ascii="Arial" w:hAnsi="Arial" w:cs="Arial"/>
          <w:i w:val="0"/>
          <w:iCs w:val="0"/>
          <w:color w:val="auto"/>
        </w:rPr>
        <w:t>. Capacity Summary by VISION 2050 Geographies</w:t>
      </w:r>
    </w:p>
    <w:p w14:paraId="4D8F2459" w14:textId="7627DC86" w:rsidR="00D15854" w:rsidRPr="00A71B04" w:rsidRDefault="00D15854" w:rsidP="006A3C95">
      <w:pPr>
        <w:ind w:right="-18"/>
        <w:jc w:val="both"/>
        <w:rPr>
          <w:rFonts w:ascii="Arial" w:hAnsi="Arial" w:cs="Arial"/>
          <w:i/>
        </w:rPr>
      </w:pPr>
      <w:r w:rsidRPr="00A71B04">
        <w:rPr>
          <w:rFonts w:ascii="Arial" w:hAnsi="Arial" w:cs="Arial"/>
          <w:b/>
          <w:bCs/>
          <w:iCs/>
        </w:rPr>
        <w:t>GMPC Action</w:t>
      </w:r>
      <w:r w:rsidR="00A71B04" w:rsidRPr="00A71B04">
        <w:rPr>
          <w:rFonts w:ascii="Arial" w:hAnsi="Arial" w:cs="Arial"/>
          <w:b/>
          <w:bCs/>
          <w:iCs/>
        </w:rPr>
        <w:t>.</w:t>
      </w:r>
      <w:r w:rsidR="00A71B04">
        <w:rPr>
          <w:rFonts w:ascii="Arial" w:hAnsi="Arial" w:cs="Arial"/>
          <w:i/>
        </w:rPr>
        <w:t xml:space="preserve"> </w:t>
      </w:r>
      <w:r>
        <w:rPr>
          <w:rFonts w:ascii="Arial" w:hAnsi="Arial" w:cs="Arial"/>
        </w:rPr>
        <w:t xml:space="preserve">On June </w:t>
      </w:r>
      <w:r w:rsidR="00BA6F32">
        <w:rPr>
          <w:rFonts w:ascii="Arial" w:hAnsi="Arial" w:cs="Arial"/>
        </w:rPr>
        <w:t>23</w:t>
      </w:r>
      <w:r>
        <w:rPr>
          <w:rFonts w:ascii="Arial" w:hAnsi="Arial" w:cs="Arial"/>
        </w:rPr>
        <w:t xml:space="preserve">, 2021, the </w:t>
      </w:r>
      <w:r w:rsidRPr="00873E92">
        <w:rPr>
          <w:rFonts w:ascii="Arial" w:hAnsi="Arial" w:cs="Arial"/>
        </w:rPr>
        <w:t>GMPC</w:t>
      </w:r>
      <w:r w:rsidRPr="00FD2706">
        <w:rPr>
          <w:rFonts w:ascii="Arial" w:hAnsi="Arial" w:cs="Arial"/>
        </w:rPr>
        <w:t xml:space="preserve"> </w:t>
      </w:r>
      <w:r>
        <w:rPr>
          <w:rFonts w:ascii="Arial" w:hAnsi="Arial" w:cs="Arial"/>
        </w:rPr>
        <w:t>approved Motion 21-2, which recommends approval of the 2021 Urban Growth Capacity Report. The GMPC action is a recommendation to the King County Council and is not binding.</w:t>
      </w:r>
      <w:r w:rsidR="00A44CFD">
        <w:rPr>
          <w:rFonts w:ascii="Arial" w:hAnsi="Arial" w:cs="Arial"/>
        </w:rPr>
        <w:t xml:space="preserve"> </w:t>
      </w:r>
    </w:p>
    <w:p w14:paraId="07723A96" w14:textId="77777777" w:rsidR="00D15854" w:rsidRPr="0062036C" w:rsidRDefault="00D15854" w:rsidP="006A3C95">
      <w:pPr>
        <w:ind w:right="-18"/>
        <w:jc w:val="both"/>
        <w:rPr>
          <w:rFonts w:ascii="Arial" w:hAnsi="Arial" w:cs="Arial"/>
        </w:rPr>
      </w:pPr>
    </w:p>
    <w:p w14:paraId="443E2E36" w14:textId="1336C708" w:rsidR="00D15854" w:rsidRPr="00156A75" w:rsidRDefault="00D15854" w:rsidP="006A3C95">
      <w:pPr>
        <w:jc w:val="both"/>
        <w:rPr>
          <w:rFonts w:ascii="Arial" w:hAnsi="Arial" w:cs="Arial"/>
        </w:rPr>
      </w:pPr>
      <w:r>
        <w:rPr>
          <w:rFonts w:ascii="Arial" w:hAnsi="Arial" w:cs="Arial"/>
        </w:rPr>
        <w:t xml:space="preserve">Consistent with </w:t>
      </w:r>
      <w:r w:rsidRPr="00873E92">
        <w:rPr>
          <w:rFonts w:ascii="Arial" w:hAnsi="Arial" w:cs="Arial"/>
        </w:rPr>
        <w:t>CPPs</w:t>
      </w:r>
      <w:r>
        <w:rPr>
          <w:rFonts w:ascii="Arial" w:hAnsi="Arial" w:cs="Arial"/>
        </w:rPr>
        <w:t xml:space="preserve"> adoption requirements, </w:t>
      </w:r>
      <w:r w:rsidRPr="00156A75">
        <w:rPr>
          <w:rFonts w:ascii="Arial" w:hAnsi="Arial" w:cs="Arial"/>
        </w:rPr>
        <w:t xml:space="preserve">Proposed Ordinance </w:t>
      </w:r>
      <w:r>
        <w:rPr>
          <w:rFonts w:ascii="Arial" w:hAnsi="Arial" w:cs="Arial"/>
        </w:rPr>
        <w:t xml:space="preserve">2021-0255 forwards this GMPC recommendation to the King County Council for consideration </w:t>
      </w:r>
      <w:r w:rsidR="009B10FC">
        <w:rPr>
          <w:rFonts w:ascii="Arial" w:hAnsi="Arial" w:cs="Arial"/>
        </w:rPr>
        <w:t>and</w:t>
      </w:r>
      <w:r>
        <w:rPr>
          <w:rFonts w:ascii="Arial" w:hAnsi="Arial" w:cs="Arial"/>
        </w:rPr>
        <w:t xml:space="preserve"> possible approval. The </w:t>
      </w:r>
      <w:r w:rsidR="00FD0C24">
        <w:rPr>
          <w:rFonts w:ascii="Arial" w:hAnsi="Arial" w:cs="Arial"/>
        </w:rPr>
        <w:t xml:space="preserve">proposed ordinance </w:t>
      </w:r>
      <w:r>
        <w:rPr>
          <w:rFonts w:ascii="Arial" w:hAnsi="Arial" w:cs="Arial"/>
        </w:rPr>
        <w:t>would also</w:t>
      </w:r>
      <w:r w:rsidRPr="00156A75">
        <w:rPr>
          <w:rFonts w:ascii="Arial" w:hAnsi="Arial" w:cs="Arial"/>
        </w:rPr>
        <w:t xml:space="preserve"> ratify the change on behalf of the population of unincorporated King </w:t>
      </w:r>
      <w:r w:rsidR="002F1753" w:rsidRPr="00156A75">
        <w:rPr>
          <w:rFonts w:ascii="Arial" w:hAnsi="Arial" w:cs="Arial"/>
        </w:rPr>
        <w:t>County and</w:t>
      </w:r>
      <w:r>
        <w:rPr>
          <w:rFonts w:ascii="Arial" w:hAnsi="Arial" w:cs="Arial"/>
        </w:rPr>
        <w:t xml:space="preserve"> would</w:t>
      </w:r>
      <w:r w:rsidRPr="00156A75">
        <w:rPr>
          <w:rFonts w:ascii="Arial" w:hAnsi="Arial" w:cs="Arial"/>
        </w:rPr>
        <w:t xml:space="preserve"> begin the ratification process by the cities.</w:t>
      </w:r>
    </w:p>
    <w:p w14:paraId="4C46023A" w14:textId="77777777" w:rsidR="00FA358B" w:rsidRDefault="00FA358B" w:rsidP="0026669B">
      <w:pPr>
        <w:jc w:val="both"/>
        <w:rPr>
          <w:rFonts w:ascii="Arial" w:hAnsi="Arial" w:cs="Arial"/>
          <w:b/>
          <w:szCs w:val="24"/>
          <w:u w:val="single"/>
        </w:rPr>
      </w:pPr>
    </w:p>
    <w:p w14:paraId="10473968" w14:textId="2607EB2F" w:rsidR="00B0209F" w:rsidRDefault="00B0209F" w:rsidP="0026669B">
      <w:pPr>
        <w:jc w:val="both"/>
        <w:rPr>
          <w:rFonts w:ascii="Arial" w:hAnsi="Arial" w:cs="Arial"/>
          <w:b/>
          <w:szCs w:val="24"/>
          <w:u w:val="single"/>
        </w:rPr>
      </w:pPr>
      <w:r>
        <w:rPr>
          <w:rFonts w:ascii="Arial" w:hAnsi="Arial" w:cs="Arial"/>
          <w:b/>
          <w:szCs w:val="24"/>
          <w:u w:val="single"/>
        </w:rPr>
        <w:t>AMENDMENT</w:t>
      </w:r>
    </w:p>
    <w:p w14:paraId="18D6415E" w14:textId="6E967E13" w:rsidR="00B0209F" w:rsidRDefault="00B0209F" w:rsidP="0026669B">
      <w:pPr>
        <w:jc w:val="both"/>
        <w:rPr>
          <w:rFonts w:ascii="Arial" w:hAnsi="Arial" w:cs="Arial"/>
          <w:b/>
          <w:szCs w:val="24"/>
          <w:u w:val="single"/>
        </w:rPr>
      </w:pPr>
    </w:p>
    <w:p w14:paraId="2EC6A301" w14:textId="31A2FBF1" w:rsidR="004A6FFC" w:rsidRPr="00A85031" w:rsidRDefault="00B0209F" w:rsidP="0026669B">
      <w:pPr>
        <w:jc w:val="both"/>
        <w:rPr>
          <w:rFonts w:ascii="Arial" w:hAnsi="Arial" w:cs="Arial"/>
          <w:bCs/>
          <w:szCs w:val="24"/>
        </w:rPr>
      </w:pPr>
      <w:r>
        <w:rPr>
          <w:rFonts w:ascii="Arial" w:hAnsi="Arial" w:cs="Arial"/>
          <w:bCs/>
          <w:szCs w:val="24"/>
        </w:rPr>
        <w:t>Amendment 1 would attach an</w:t>
      </w:r>
      <w:r w:rsidRPr="00B0209F">
        <w:rPr>
          <w:rFonts w:ascii="Arial" w:hAnsi="Arial" w:cs="Arial"/>
          <w:bCs/>
          <w:szCs w:val="24"/>
        </w:rPr>
        <w:t xml:space="preserve"> updated version of </w:t>
      </w:r>
      <w:r>
        <w:rPr>
          <w:rFonts w:ascii="Arial" w:hAnsi="Arial" w:cs="Arial"/>
          <w:bCs/>
          <w:szCs w:val="24"/>
        </w:rPr>
        <w:t xml:space="preserve">the Urban Growth Capacity </w:t>
      </w:r>
      <w:r w:rsidRPr="00B0209F">
        <w:rPr>
          <w:rFonts w:ascii="Arial" w:hAnsi="Arial" w:cs="Arial"/>
          <w:bCs/>
          <w:szCs w:val="24"/>
        </w:rPr>
        <w:t>Report</w:t>
      </w:r>
      <w:r>
        <w:rPr>
          <w:rFonts w:ascii="Arial" w:hAnsi="Arial" w:cs="Arial"/>
          <w:bCs/>
          <w:szCs w:val="24"/>
        </w:rPr>
        <w:t xml:space="preserve"> with updated d</w:t>
      </w:r>
      <w:r w:rsidRPr="00B0209F">
        <w:rPr>
          <w:rFonts w:ascii="Arial" w:hAnsi="Arial" w:cs="Arial"/>
          <w:bCs/>
          <w:szCs w:val="24"/>
        </w:rPr>
        <w:t>ata for the City of Bothell</w:t>
      </w:r>
      <w:r>
        <w:rPr>
          <w:rFonts w:ascii="Arial" w:hAnsi="Arial" w:cs="Arial"/>
          <w:bCs/>
          <w:szCs w:val="24"/>
        </w:rPr>
        <w:t xml:space="preserve">. </w:t>
      </w:r>
      <w:r w:rsidRPr="00B0209F">
        <w:rPr>
          <w:rFonts w:ascii="Arial" w:hAnsi="Arial" w:cs="Arial"/>
          <w:bCs/>
          <w:szCs w:val="24"/>
        </w:rPr>
        <w:t xml:space="preserve">The </w:t>
      </w:r>
      <w:r>
        <w:rPr>
          <w:rFonts w:ascii="Arial" w:hAnsi="Arial" w:cs="Arial"/>
          <w:bCs/>
          <w:szCs w:val="24"/>
        </w:rPr>
        <w:t>change</w:t>
      </w:r>
      <w:r w:rsidRPr="00B0209F">
        <w:rPr>
          <w:rFonts w:ascii="Arial" w:hAnsi="Arial" w:cs="Arial"/>
          <w:bCs/>
          <w:szCs w:val="24"/>
        </w:rPr>
        <w:t xml:space="preserve"> </w:t>
      </w:r>
      <w:r>
        <w:rPr>
          <w:rFonts w:ascii="Arial" w:hAnsi="Arial" w:cs="Arial"/>
          <w:bCs/>
          <w:szCs w:val="24"/>
        </w:rPr>
        <w:t>would</w:t>
      </w:r>
      <w:r w:rsidRPr="00B0209F">
        <w:rPr>
          <w:rFonts w:ascii="Arial" w:hAnsi="Arial" w:cs="Arial"/>
          <w:bCs/>
          <w:szCs w:val="24"/>
        </w:rPr>
        <w:t xml:space="preserve"> not impact the finding</w:t>
      </w:r>
      <w:r>
        <w:rPr>
          <w:rFonts w:ascii="Arial" w:hAnsi="Arial" w:cs="Arial"/>
          <w:bCs/>
          <w:szCs w:val="24"/>
        </w:rPr>
        <w:t>s</w:t>
      </w:r>
      <w:r w:rsidRPr="00B0209F">
        <w:rPr>
          <w:rFonts w:ascii="Arial" w:hAnsi="Arial" w:cs="Arial"/>
          <w:bCs/>
          <w:szCs w:val="24"/>
        </w:rPr>
        <w:t xml:space="preserve"> of the Report approved by the Growth Management Planning Council in June 2021.</w:t>
      </w:r>
    </w:p>
    <w:sectPr w:rsidR="004A6FFC" w:rsidRPr="00A85031" w:rsidSect="00C75025">
      <w:headerReference w:type="first" r:id="rId9"/>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EA8A3" w14:textId="77777777" w:rsidR="002A070C" w:rsidRDefault="002A070C">
      <w:r>
        <w:separator/>
      </w:r>
    </w:p>
  </w:endnote>
  <w:endnote w:type="continuationSeparator" w:id="0">
    <w:p w14:paraId="51C4862B" w14:textId="77777777" w:rsidR="002A070C" w:rsidRDefault="002A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8249F" w14:textId="77777777" w:rsidR="002A070C" w:rsidRDefault="002A070C">
      <w:r>
        <w:separator/>
      </w:r>
    </w:p>
  </w:footnote>
  <w:footnote w:type="continuationSeparator" w:id="0">
    <w:p w14:paraId="74FEB3D1" w14:textId="77777777" w:rsidR="002A070C" w:rsidRDefault="002A070C">
      <w:r>
        <w:continuationSeparator/>
      </w:r>
    </w:p>
  </w:footnote>
  <w:footnote w:id="1">
    <w:p w14:paraId="0DC59EED" w14:textId="77777777" w:rsidR="002A070C" w:rsidRPr="00465E99" w:rsidRDefault="002A070C" w:rsidP="00F05024">
      <w:pPr>
        <w:pStyle w:val="FootnoteText"/>
        <w:rPr>
          <w:rFonts w:ascii="Arial" w:hAnsi="Arial" w:cs="Arial"/>
        </w:rPr>
      </w:pPr>
      <w:r w:rsidRPr="00465E99">
        <w:rPr>
          <w:rStyle w:val="FootnoteReference"/>
          <w:rFonts w:ascii="Arial" w:hAnsi="Arial" w:cs="Arial"/>
        </w:rPr>
        <w:footnoteRef/>
      </w:r>
      <w:r w:rsidRPr="00465E99">
        <w:rPr>
          <w:rFonts w:ascii="Arial" w:hAnsi="Arial" w:cs="Arial"/>
        </w:rPr>
        <w:t xml:space="preserve"> RCW 36.70A.215</w:t>
      </w:r>
    </w:p>
  </w:footnote>
  <w:footnote w:id="2">
    <w:p w14:paraId="50AA9141" w14:textId="33758978" w:rsidR="002A070C" w:rsidRPr="009B5F20" w:rsidRDefault="002A070C">
      <w:pPr>
        <w:pStyle w:val="FootnoteText"/>
        <w:rPr>
          <w:rFonts w:ascii="Arial" w:hAnsi="Arial" w:cs="Arial"/>
        </w:rPr>
      </w:pPr>
      <w:r w:rsidRPr="009B5F20">
        <w:rPr>
          <w:rStyle w:val="FootnoteReference"/>
          <w:rFonts w:ascii="Arial" w:hAnsi="Arial" w:cs="Arial"/>
        </w:rPr>
        <w:footnoteRef/>
      </w:r>
      <w:r w:rsidRPr="009B5F20">
        <w:rPr>
          <w:rFonts w:ascii="Arial" w:hAnsi="Arial" w:cs="Arial"/>
        </w:rPr>
        <w:t xml:space="preserve"> The Report uses VISION 2040 Regional Geographies to analyze growth in the current planning period (2006 through 2035) and VISION 2050 Regional Geographies </w:t>
      </w:r>
      <w:r>
        <w:rPr>
          <w:rFonts w:ascii="Arial" w:hAnsi="Arial" w:cs="Arial"/>
        </w:rPr>
        <w:t>for</w:t>
      </w:r>
      <w:r w:rsidRPr="009B5F20">
        <w:rPr>
          <w:rFonts w:ascii="Arial" w:hAnsi="Arial" w:cs="Arial"/>
        </w:rPr>
        <w:t xml:space="preserve"> final capacity results and city profiles.</w:t>
      </w:r>
    </w:p>
  </w:footnote>
  <w:footnote w:id="3">
    <w:p w14:paraId="29320C45" w14:textId="688A39DC" w:rsidR="002A070C" w:rsidRDefault="002A070C">
      <w:pPr>
        <w:pStyle w:val="FootnoteText"/>
      </w:pPr>
      <w:r w:rsidRPr="009B5F20">
        <w:rPr>
          <w:rStyle w:val="FootnoteReference"/>
          <w:rFonts w:ascii="Arial" w:hAnsi="Arial" w:cs="Arial"/>
        </w:rPr>
        <w:footnoteRef/>
      </w:r>
      <w:r w:rsidRPr="009B5F20">
        <w:rPr>
          <w:rFonts w:ascii="Arial" w:hAnsi="Arial" w:cs="Arial"/>
        </w:rPr>
        <w:t xml:space="preserve"> Jurisdictions were evaluated as having achieved their 2006-2035 growth targets if their estimated housing and job growth from 2006-2018 is at least 50% of the amount of growth target that has elapsed during that period.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B920D" w14:textId="77777777" w:rsidR="002A070C" w:rsidRDefault="002A070C" w:rsidP="00C75025">
    <w:pPr>
      <w:jc w:val="center"/>
    </w:pPr>
    <w:r>
      <w:rPr>
        <w:noProof/>
      </w:rPr>
      <w:drawing>
        <wp:inline distT="0" distB="0" distL="0" distR="0" wp14:anchorId="2E8A4DA9" wp14:editId="0AD2081E">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26AEB3A6" w14:textId="77777777" w:rsidR="002A070C" w:rsidRPr="003B03EF" w:rsidRDefault="002A070C" w:rsidP="00C75025">
    <w:pPr>
      <w:jc w:val="center"/>
      <w:rPr>
        <w:rFonts w:ascii="Arial" w:hAnsi="Arial"/>
        <w:szCs w:val="22"/>
      </w:rPr>
    </w:pPr>
  </w:p>
  <w:p w14:paraId="172EA041" w14:textId="77777777" w:rsidR="002A070C" w:rsidRDefault="002A070C" w:rsidP="00C75025">
    <w:pPr>
      <w:jc w:val="center"/>
      <w:rPr>
        <w:rFonts w:ascii="Verdana" w:hAnsi="Verdana"/>
        <w:b/>
        <w:sz w:val="28"/>
        <w:szCs w:val="28"/>
      </w:rPr>
    </w:pPr>
    <w:r>
      <w:rPr>
        <w:rFonts w:ascii="Verdana" w:hAnsi="Verdana"/>
        <w:b/>
        <w:sz w:val="28"/>
        <w:szCs w:val="28"/>
      </w:rPr>
      <w:t>Metropolitan King County Council</w:t>
    </w:r>
  </w:p>
  <w:p w14:paraId="72C692E2" w14:textId="77777777" w:rsidR="002A070C" w:rsidRPr="004A1D48" w:rsidRDefault="002A070C" w:rsidP="00C75025">
    <w:pPr>
      <w:jc w:val="center"/>
      <w:rPr>
        <w:rFonts w:ascii="Verdana" w:hAnsi="Verdana"/>
        <w:b/>
        <w:sz w:val="28"/>
        <w:szCs w:val="28"/>
      </w:rPr>
    </w:pPr>
    <w:r>
      <w:rPr>
        <w:rFonts w:ascii="Verdana" w:hAnsi="Verdana"/>
        <w:b/>
        <w:sz w:val="28"/>
        <w:szCs w:val="28"/>
      </w:rPr>
      <w:t>Mobility and Environment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C7B14"/>
    <w:multiLevelType w:val="hybridMultilevel"/>
    <w:tmpl w:val="EDD49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65A6C"/>
    <w:multiLevelType w:val="hybridMultilevel"/>
    <w:tmpl w:val="5E600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ytTCxsDA2NjMytzBT0lEKTi0uzszPAykwqQUAAYvdxCwAAAA="/>
  </w:docVars>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4863"/>
    <w:rsid w:val="0002551E"/>
    <w:rsid w:val="0002555E"/>
    <w:rsid w:val="000311D8"/>
    <w:rsid w:val="000315B2"/>
    <w:rsid w:val="00031E7D"/>
    <w:rsid w:val="0003207F"/>
    <w:rsid w:val="000321D8"/>
    <w:rsid w:val="000333D7"/>
    <w:rsid w:val="000333DA"/>
    <w:rsid w:val="000351B5"/>
    <w:rsid w:val="0004549A"/>
    <w:rsid w:val="00046824"/>
    <w:rsid w:val="000470FF"/>
    <w:rsid w:val="000511D6"/>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2259"/>
    <w:rsid w:val="0008325A"/>
    <w:rsid w:val="00086A9B"/>
    <w:rsid w:val="0008758D"/>
    <w:rsid w:val="00087BF6"/>
    <w:rsid w:val="000913B6"/>
    <w:rsid w:val="00093E1B"/>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9EF"/>
    <w:rsid w:val="00131D0E"/>
    <w:rsid w:val="001320CB"/>
    <w:rsid w:val="0013286C"/>
    <w:rsid w:val="00132C16"/>
    <w:rsid w:val="00132C2B"/>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2D2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C5F4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0327"/>
    <w:rsid w:val="002413EE"/>
    <w:rsid w:val="00243C8C"/>
    <w:rsid w:val="00243CB5"/>
    <w:rsid w:val="002443A8"/>
    <w:rsid w:val="00246276"/>
    <w:rsid w:val="00246DED"/>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6669B"/>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070C"/>
    <w:rsid w:val="002A1127"/>
    <w:rsid w:val="002A1228"/>
    <w:rsid w:val="002A2420"/>
    <w:rsid w:val="002A6326"/>
    <w:rsid w:val="002B0E1F"/>
    <w:rsid w:val="002B376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1753"/>
    <w:rsid w:val="002F3DFD"/>
    <w:rsid w:val="002F6129"/>
    <w:rsid w:val="003002EE"/>
    <w:rsid w:val="0030114D"/>
    <w:rsid w:val="00301EF5"/>
    <w:rsid w:val="00302F3E"/>
    <w:rsid w:val="00303D74"/>
    <w:rsid w:val="00304107"/>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2F74"/>
    <w:rsid w:val="004132A8"/>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27946"/>
    <w:rsid w:val="00431EEF"/>
    <w:rsid w:val="00433E5C"/>
    <w:rsid w:val="004349B7"/>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5E3F"/>
    <w:rsid w:val="0046635A"/>
    <w:rsid w:val="0047090B"/>
    <w:rsid w:val="00471FBF"/>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6FFC"/>
    <w:rsid w:val="004A764A"/>
    <w:rsid w:val="004A7A90"/>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1FAC"/>
    <w:rsid w:val="004D2FE8"/>
    <w:rsid w:val="004D30D7"/>
    <w:rsid w:val="004D31A9"/>
    <w:rsid w:val="004D31B6"/>
    <w:rsid w:val="004D3E48"/>
    <w:rsid w:val="004D4AF9"/>
    <w:rsid w:val="004D5297"/>
    <w:rsid w:val="004D6102"/>
    <w:rsid w:val="004D7AFD"/>
    <w:rsid w:val="004E03AF"/>
    <w:rsid w:val="004E0E02"/>
    <w:rsid w:val="004E25F6"/>
    <w:rsid w:val="004E48AE"/>
    <w:rsid w:val="004E646C"/>
    <w:rsid w:val="004E6D1D"/>
    <w:rsid w:val="004F0FCB"/>
    <w:rsid w:val="004F400E"/>
    <w:rsid w:val="004F504F"/>
    <w:rsid w:val="004F57F7"/>
    <w:rsid w:val="004F70E1"/>
    <w:rsid w:val="004F750E"/>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4672"/>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031D"/>
    <w:rsid w:val="00580F20"/>
    <w:rsid w:val="00581625"/>
    <w:rsid w:val="00581978"/>
    <w:rsid w:val="00581B47"/>
    <w:rsid w:val="00581C94"/>
    <w:rsid w:val="0058291D"/>
    <w:rsid w:val="00583A0C"/>
    <w:rsid w:val="005878CE"/>
    <w:rsid w:val="00590A54"/>
    <w:rsid w:val="00590C7D"/>
    <w:rsid w:val="00592A33"/>
    <w:rsid w:val="005967F8"/>
    <w:rsid w:val="00596ACA"/>
    <w:rsid w:val="005A1377"/>
    <w:rsid w:val="005A2AE5"/>
    <w:rsid w:val="005A2BC9"/>
    <w:rsid w:val="005A3FD9"/>
    <w:rsid w:val="005A4155"/>
    <w:rsid w:val="005A5CC1"/>
    <w:rsid w:val="005A7B2A"/>
    <w:rsid w:val="005A7E12"/>
    <w:rsid w:val="005B0541"/>
    <w:rsid w:val="005B0FD8"/>
    <w:rsid w:val="005B478C"/>
    <w:rsid w:val="005B7D1A"/>
    <w:rsid w:val="005C44C6"/>
    <w:rsid w:val="005C4BCC"/>
    <w:rsid w:val="005C624B"/>
    <w:rsid w:val="005D056C"/>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468E7"/>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215"/>
    <w:rsid w:val="006715A0"/>
    <w:rsid w:val="00671BEF"/>
    <w:rsid w:val="00675900"/>
    <w:rsid w:val="006767E7"/>
    <w:rsid w:val="00683A2D"/>
    <w:rsid w:val="00684471"/>
    <w:rsid w:val="00686542"/>
    <w:rsid w:val="00686A7F"/>
    <w:rsid w:val="006878FD"/>
    <w:rsid w:val="00687973"/>
    <w:rsid w:val="0069013F"/>
    <w:rsid w:val="00692925"/>
    <w:rsid w:val="00692F34"/>
    <w:rsid w:val="00695212"/>
    <w:rsid w:val="0069583B"/>
    <w:rsid w:val="0069690D"/>
    <w:rsid w:val="006A047D"/>
    <w:rsid w:val="006A1123"/>
    <w:rsid w:val="006A18DE"/>
    <w:rsid w:val="006A1DFC"/>
    <w:rsid w:val="006A1E5F"/>
    <w:rsid w:val="006A3C95"/>
    <w:rsid w:val="006A4253"/>
    <w:rsid w:val="006A58EF"/>
    <w:rsid w:val="006A5FDA"/>
    <w:rsid w:val="006A60EE"/>
    <w:rsid w:val="006A76F1"/>
    <w:rsid w:val="006A77A8"/>
    <w:rsid w:val="006B134E"/>
    <w:rsid w:val="006B26F8"/>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41CB"/>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37AD2"/>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A4C62"/>
    <w:rsid w:val="007B1136"/>
    <w:rsid w:val="007B3A44"/>
    <w:rsid w:val="007B4108"/>
    <w:rsid w:val="007B5ED6"/>
    <w:rsid w:val="007B63B1"/>
    <w:rsid w:val="007B688B"/>
    <w:rsid w:val="007B76B3"/>
    <w:rsid w:val="007C20EE"/>
    <w:rsid w:val="007C6843"/>
    <w:rsid w:val="007C7BDF"/>
    <w:rsid w:val="007D178B"/>
    <w:rsid w:val="007D17ED"/>
    <w:rsid w:val="007D2C57"/>
    <w:rsid w:val="007D72EC"/>
    <w:rsid w:val="007D78E8"/>
    <w:rsid w:val="007D7D5A"/>
    <w:rsid w:val="007E3231"/>
    <w:rsid w:val="007F0F9A"/>
    <w:rsid w:val="007F2EFD"/>
    <w:rsid w:val="007F566F"/>
    <w:rsid w:val="007F588A"/>
    <w:rsid w:val="0080188E"/>
    <w:rsid w:val="0080247D"/>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3521"/>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B27"/>
    <w:rsid w:val="008A6A5C"/>
    <w:rsid w:val="008A706A"/>
    <w:rsid w:val="008B35EE"/>
    <w:rsid w:val="008B3E7C"/>
    <w:rsid w:val="008B4033"/>
    <w:rsid w:val="008B405B"/>
    <w:rsid w:val="008B44E8"/>
    <w:rsid w:val="008B49E0"/>
    <w:rsid w:val="008B556D"/>
    <w:rsid w:val="008B7A46"/>
    <w:rsid w:val="008C01D4"/>
    <w:rsid w:val="008C0B85"/>
    <w:rsid w:val="008C18F6"/>
    <w:rsid w:val="008C197F"/>
    <w:rsid w:val="008C1DE5"/>
    <w:rsid w:val="008C33F8"/>
    <w:rsid w:val="008C468E"/>
    <w:rsid w:val="008C6271"/>
    <w:rsid w:val="008C6FBE"/>
    <w:rsid w:val="008C7211"/>
    <w:rsid w:val="008D07F4"/>
    <w:rsid w:val="008D125C"/>
    <w:rsid w:val="008D2884"/>
    <w:rsid w:val="008D2E17"/>
    <w:rsid w:val="008D460A"/>
    <w:rsid w:val="008D6E9B"/>
    <w:rsid w:val="008D79B2"/>
    <w:rsid w:val="008D7ED0"/>
    <w:rsid w:val="008E2972"/>
    <w:rsid w:val="008E30E9"/>
    <w:rsid w:val="008E5F44"/>
    <w:rsid w:val="008F18D1"/>
    <w:rsid w:val="008F3077"/>
    <w:rsid w:val="008F4FEE"/>
    <w:rsid w:val="008F5106"/>
    <w:rsid w:val="008F5B95"/>
    <w:rsid w:val="0090274A"/>
    <w:rsid w:val="00903C11"/>
    <w:rsid w:val="00904115"/>
    <w:rsid w:val="00904689"/>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513A"/>
    <w:rsid w:val="009667CE"/>
    <w:rsid w:val="0096684D"/>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11A6"/>
    <w:rsid w:val="009A2222"/>
    <w:rsid w:val="009A4446"/>
    <w:rsid w:val="009A504B"/>
    <w:rsid w:val="009A52E8"/>
    <w:rsid w:val="009A5B2B"/>
    <w:rsid w:val="009A672D"/>
    <w:rsid w:val="009B0304"/>
    <w:rsid w:val="009B0F66"/>
    <w:rsid w:val="009B10FC"/>
    <w:rsid w:val="009B17E9"/>
    <w:rsid w:val="009B29D4"/>
    <w:rsid w:val="009B2F8B"/>
    <w:rsid w:val="009B3570"/>
    <w:rsid w:val="009B3672"/>
    <w:rsid w:val="009B4DBC"/>
    <w:rsid w:val="009B50B9"/>
    <w:rsid w:val="009B56EA"/>
    <w:rsid w:val="009B5F20"/>
    <w:rsid w:val="009B6861"/>
    <w:rsid w:val="009C0CBB"/>
    <w:rsid w:val="009C245A"/>
    <w:rsid w:val="009C3B05"/>
    <w:rsid w:val="009C516E"/>
    <w:rsid w:val="009C597F"/>
    <w:rsid w:val="009C69CB"/>
    <w:rsid w:val="009C7DC6"/>
    <w:rsid w:val="009D19AD"/>
    <w:rsid w:val="009D2DE6"/>
    <w:rsid w:val="009D48A1"/>
    <w:rsid w:val="009D48CE"/>
    <w:rsid w:val="009D4FCF"/>
    <w:rsid w:val="009D55BB"/>
    <w:rsid w:val="009E3F80"/>
    <w:rsid w:val="009E3FF6"/>
    <w:rsid w:val="009E652E"/>
    <w:rsid w:val="009F356D"/>
    <w:rsid w:val="009F5577"/>
    <w:rsid w:val="00A00CBD"/>
    <w:rsid w:val="00A02216"/>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ABB"/>
    <w:rsid w:val="00A40E9F"/>
    <w:rsid w:val="00A415A9"/>
    <w:rsid w:val="00A42F0C"/>
    <w:rsid w:val="00A4406D"/>
    <w:rsid w:val="00A44CFD"/>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1B04"/>
    <w:rsid w:val="00A730FE"/>
    <w:rsid w:val="00A7326B"/>
    <w:rsid w:val="00A7463A"/>
    <w:rsid w:val="00A75483"/>
    <w:rsid w:val="00A77CB9"/>
    <w:rsid w:val="00A810B0"/>
    <w:rsid w:val="00A81830"/>
    <w:rsid w:val="00A8219B"/>
    <w:rsid w:val="00A8300F"/>
    <w:rsid w:val="00A85031"/>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209F"/>
    <w:rsid w:val="00B02F99"/>
    <w:rsid w:val="00B039FE"/>
    <w:rsid w:val="00B03C3D"/>
    <w:rsid w:val="00B03F64"/>
    <w:rsid w:val="00B051C0"/>
    <w:rsid w:val="00B069C6"/>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0E6F"/>
    <w:rsid w:val="00B410AF"/>
    <w:rsid w:val="00B418C2"/>
    <w:rsid w:val="00B424FA"/>
    <w:rsid w:val="00B445B5"/>
    <w:rsid w:val="00B46027"/>
    <w:rsid w:val="00B47954"/>
    <w:rsid w:val="00B5059B"/>
    <w:rsid w:val="00B51CA8"/>
    <w:rsid w:val="00B51EFC"/>
    <w:rsid w:val="00B5298C"/>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2942"/>
    <w:rsid w:val="00B943D8"/>
    <w:rsid w:val="00B94EC0"/>
    <w:rsid w:val="00B954C0"/>
    <w:rsid w:val="00B97541"/>
    <w:rsid w:val="00BA295B"/>
    <w:rsid w:val="00BA42B1"/>
    <w:rsid w:val="00BA4AC5"/>
    <w:rsid w:val="00BA4BF0"/>
    <w:rsid w:val="00BA6F32"/>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5C8A"/>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2AA7"/>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163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D520B"/>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4B09"/>
    <w:rsid w:val="00D15854"/>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2B80"/>
    <w:rsid w:val="00D45063"/>
    <w:rsid w:val="00D475C8"/>
    <w:rsid w:val="00D55262"/>
    <w:rsid w:val="00D55501"/>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97318"/>
    <w:rsid w:val="00DA06CC"/>
    <w:rsid w:val="00DA243B"/>
    <w:rsid w:val="00DA2597"/>
    <w:rsid w:val="00DA284C"/>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3130"/>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12A"/>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5CD0"/>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64C83"/>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387F"/>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C37D5"/>
    <w:rsid w:val="00ED0178"/>
    <w:rsid w:val="00ED0A4B"/>
    <w:rsid w:val="00ED1C6C"/>
    <w:rsid w:val="00ED4C66"/>
    <w:rsid w:val="00ED520F"/>
    <w:rsid w:val="00ED7379"/>
    <w:rsid w:val="00EE00F3"/>
    <w:rsid w:val="00EE1077"/>
    <w:rsid w:val="00EE164A"/>
    <w:rsid w:val="00EE4EFC"/>
    <w:rsid w:val="00EE5722"/>
    <w:rsid w:val="00EE5F51"/>
    <w:rsid w:val="00EF0F70"/>
    <w:rsid w:val="00EF2157"/>
    <w:rsid w:val="00EF2C25"/>
    <w:rsid w:val="00EF340E"/>
    <w:rsid w:val="00EF47FF"/>
    <w:rsid w:val="00EF73AB"/>
    <w:rsid w:val="00EF74E2"/>
    <w:rsid w:val="00F01092"/>
    <w:rsid w:val="00F028A0"/>
    <w:rsid w:val="00F02BC8"/>
    <w:rsid w:val="00F05024"/>
    <w:rsid w:val="00F051CE"/>
    <w:rsid w:val="00F06C8C"/>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6DDB"/>
    <w:rsid w:val="00F77845"/>
    <w:rsid w:val="00F8004A"/>
    <w:rsid w:val="00F8027D"/>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358B"/>
    <w:rsid w:val="00FA594E"/>
    <w:rsid w:val="00FA7679"/>
    <w:rsid w:val="00FA7B65"/>
    <w:rsid w:val="00FB2A39"/>
    <w:rsid w:val="00FB4D01"/>
    <w:rsid w:val="00FB500C"/>
    <w:rsid w:val="00FB574A"/>
    <w:rsid w:val="00FB66FD"/>
    <w:rsid w:val="00FB684A"/>
    <w:rsid w:val="00FC09F4"/>
    <w:rsid w:val="00FC3DA6"/>
    <w:rsid w:val="00FC69EC"/>
    <w:rsid w:val="00FC71FB"/>
    <w:rsid w:val="00FC7EFC"/>
    <w:rsid w:val="00FD0C24"/>
    <w:rsid w:val="00FD11CE"/>
    <w:rsid w:val="00FD18E1"/>
    <w:rsid w:val="00FD2280"/>
    <w:rsid w:val="00FD22E8"/>
    <w:rsid w:val="00FD24F5"/>
    <w:rsid w:val="00FD6012"/>
    <w:rsid w:val="00FD69DC"/>
    <w:rsid w:val="00FD7369"/>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4095F1"/>
  <w15:docId w15:val="{1BD5AFA9-79CE-42FF-903F-5F03EC75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semiHidden/>
    <w:rsid w:val="00C37A37"/>
    <w:rPr>
      <w:sz w:val="20"/>
    </w:rPr>
  </w:style>
  <w:style w:type="character" w:styleId="FootnoteReference">
    <w:name w:val="footnote reference"/>
    <w:uiPriority w:val="99"/>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ush1CS1">
    <w:name w:val="Flush 1 &lt;CS 1&gt;"/>
    <w:basedOn w:val="Normal"/>
    <w:rsid w:val="004A6FFC"/>
  </w:style>
  <w:style w:type="character" w:customStyle="1" w:styleId="FootnoteTextChar">
    <w:name w:val="Footnote Text Char"/>
    <w:basedOn w:val="DefaultParagraphFont"/>
    <w:link w:val="FootnoteText"/>
    <w:semiHidden/>
    <w:rsid w:val="008C1DE5"/>
  </w:style>
  <w:style w:type="paragraph" w:styleId="Caption">
    <w:name w:val="caption"/>
    <w:basedOn w:val="Normal"/>
    <w:next w:val="Normal"/>
    <w:uiPriority w:val="35"/>
    <w:unhideWhenUsed/>
    <w:qFormat/>
    <w:rsid w:val="00471FBF"/>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BBF9E-55C1-42DF-A3E0-0EE7CAAD1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dc:creator>
  <cp:lastModifiedBy>Steadman, Marka</cp:lastModifiedBy>
  <cp:revision>5</cp:revision>
  <cp:lastPrinted>2015-03-13T15:09:00Z</cp:lastPrinted>
  <dcterms:created xsi:type="dcterms:W3CDTF">2021-11-30T23:30:00Z</dcterms:created>
  <dcterms:modified xsi:type="dcterms:W3CDTF">2021-11-30T23:46:00Z</dcterms:modified>
</cp:coreProperties>
</file>