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56C" w:rsidRDefault="0003056C" w:rsidP="00701ECC">
      <w:pPr>
        <w:jc w:val="center"/>
      </w:pPr>
      <w:r>
        <w:rPr>
          <w:noProof/>
        </w:rPr>
        <w:pict>
          <v:group id="_x0000_s1026" editas="canvas" style="position:absolute;left:0;text-align:left;margin-left:198pt;margin-top:-43.5pt;width:76.5pt;height:55.05pt;z-index:251658240" coordsize="4500,32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00;height:3240" o:preferrelative="f">
              <v:fill o:detectmouseclick="t"/>
              <v:path o:extrusionok="t" o:connecttype="none"/>
              <o:lock v:ext="edit" text="t"/>
            </v:shape>
            <v:rect id="_x0000_s1028" style="position:absolute;width:4500;height:3222" filled="f" stroked="f" strokeweight="0"/>
            <v:rect id="_x0000_s1029" style="position:absolute;left:1180;top:15;width:2110;height:2130" strokecolor="white" strokeweight="0"/>
            <v:shape id="_x0000_s1030" style="position:absolute;left:1160;top:15;width:2150;height:2150" coordsize="2150,2150" path="m,l15,,55,r50,l170,r60,l285,r35,l340,r,135l350,265r15,130l365,430r,30l365,480r-5,25l360,525r5,40l380,600r10,35l395,725r,90l415,920r25,95l475,1105r25,75l515,1255r25,70l565,1395r65,120l705,1630r35,55l780,1735r50,40l875,1815r30,40l935,1900r30,40l1000,1975r55,20l1115,2000r65,-15l1240,1960r40,-5l1315,1945r25,-20l1350,1900r,-35l1345,1835r-20,-25l1290,1795r-45,-5l1195,1790r-55,5l1095,1790r-45,l1020,1780r-20,-15l990,1730r-5,-10l985,1705r,-10l990,1680r5,-5l1025,1665r30,l1095,1665r55,-5l1200,1645r40,-15l1260,1620r15,-10l1285,1600r5,-10l1300,1580r5,-15l1310,1555r,-15l1295,1525r-30,-15l1225,1505r-45,-5l1145,1505r-15,5l1115,1515r-15,5l1090,1530r-15,l1035,1530r-40,-10l950,1525r-10,5l930,1535r-15,10l905,1560r-10,10l885,1585r-10,10l865,1605r-30,l800,1600r-20,-10l765,1570r-15,-30l740,1500r,-35l750,1440r10,-5l770,1430r5,-10l790,1390r10,-35l820,1330r10,-5l840,1320r15,l870,1315r15,-5l895,1300r15,-10l920,1275r10,-15l930,1245r5,-15l935,1215r-5,-15l930,1190r-5,-5l915,1180r-10,l895,1175r-10,l875,1170r-5,-5l865,1155r5,-5l875,1140r10,l895,1135r15,l920,1130r15,l940,1125r10,-10l960,1105r5,-10l970,1080r5,-10l985,1055r10,-10l1010,1035r20,-5l1045,1025r15,-5l1095,1020r30,l1145,1010r10,-25l1150,955r-10,-25l1125,915r-10,-10l1100,900r-10,-10l1080,875r-5,-30l1080,810r,-35l1075,685r-20,-90l1025,525r-10,-10l1000,500,985,490r-5,-5l970,480r-5,-10l955,460r,-15l960,435r5,-5l975,425r10,-10l1015,395r30,-35l1065,325r5,-45l1070,270r,-10l1065,250r,-5l1070,235r10,-5l1090,220r15,-5l1115,205r10,-5l1145,185r20,-15l1185,160r90,-50l1360,70,1465,35r35,-10l1540,15,1575,5,1600,r10,l1660,r60,l1785,r55,l1885,r15,l2150,r,2150l,2150,,xm1360,260r-15,10l1325,290r-20,20l1290,335r5,20l1310,360r20,-5l1360,350r20,-5l1470,320r80,-20l1570,295r15,-5l1600,285r15,-5l1625,275r5,-10l1630,255r-5,-5l1615,240r-15,-15l1590,220r-10,-10l1565,205r-40,-20l1485,180r-50,15l1400,225r-40,35xm1335,515r-10,15l1315,540r-10,15l1300,565r-5,15l1300,615r15,25l1330,660r10,25l1340,705r-5,20l1330,745r-5,15l1335,810r20,40l1390,885r35,30l1460,945r20,25l1485,980r,15l1485,1005r-5,10l1470,1020r-5,l1455,1020r-10,l1435,1020r-10,l1415,1025r-10,5l1400,1040r-5,15l1390,1070r-5,15l1375,1095r-15,15l1350,1120r-10,10l1330,1140r,10l1330,1160r10,10l1345,1175r10,10l1365,1190r5,l1420,1215r60,20l1535,1250r45,15l1615,1290r25,45l1640,1345r5,15l1650,1375r5,10l1660,1395r10,10l1685,1405r10,l1705,1395r5,-10l1720,1375r5,-15l1730,1345r20,-130l1760,1070r10,-155l1785,825r30,-80l1840,670r10,-75l1840,540r-25,-30l1775,490r-55,-5l1665,490r-50,10l1610,500r-10,5l1590,510r-15,5l1565,515r-5,l1550,510r,-10l1550,495r5,-10l1560,475r,-10l1560,460r-5,l1550,460r-5,l1540,465r,l1525,470r-15,l1490,470r-15,-5l1465,455r-10,-15l1445,430r-5,-5l1430,425r-15,-5l1400,420r-15,5l1370,425r-5,l1355,440r-10,25l1340,490r-5,25xm1220,965r-15,25l1200,1020r5,30l1225,1060r25,5l1280,1060r25,-10l1330,1030r15,-30l1350,965r-10,-30l1325,915r-30,-10l1275,910r-20,10l1245,930r-15,15l1220,965xm910,1405r-10,5l895,1420r-5,10l885,1435r,10l880,1450r5,5l890,1455r10,-5l915,1440r15,-5l945,1425r10,-5l985,1420r25,10l1040,1435r25,l1080,1430r10,-10l1100,1410r10,-5l1125,1395r15,-5l1150,1390r10,l1175,1390r15,l1200,1385r10,l1215,1380r,-5l1210,1365r-10,-5l1185,1355r-10,l1170,1350r-45,-10l1080,1340r-65,10l955,1370r-45,35xe" fillcolor="black" strokeweight="0">
              <v:path arrowok="t"/>
              <o:lock v:ext="edit" verticies="t"/>
            </v:shape>
            <v:shape id="_x0000_s1031" style="position:absolute;left:1625;top:370;width:325;height:305" coordsize="325,305" path="m120,r50,l220,10r45,15l295,45r20,25l325,110r,20l320,150r,20l320,190r5,15l325,215r,15l305,255r-30,25l235,300r-45,5l160,290,130,270,105,260r-10,l85,265r-10,5l65,275r-10,5l50,285r-10,l30,290r-10,l10,290,5,285,,280,,270,,260,5,250r5,-10l20,225r5,-5l25,215,50,205,80,195r25,-5l130,180r10,-15l135,140,115,125,85,120,60,115,35,105,25,95,20,85,25,75,35,70,40,60,50,55,60,45,65,35,75,25,80,15,90,10,100,r20,xe" fillcolor="black" strokeweight="0">
              <v:path arrowok="t"/>
            </v:shape>
            <v:shape id="_x0000_s1032" style="position:absolute;left:1905;top:1100;width:80;height:115" coordsize="80,115" path="m60,l70,r5,l80,10r,10l80,30,75,40,70,55,65,65r,5l55,90r-5,10l40,110r-10,5l15,115,5,110,,100,5,80,15,55,30,30,50,10,60,xe" fillcolor="black" strokeweight="0">
              <v:path arrowok="t"/>
            </v:shape>
            <v:shape id="_x0000_s1033" style="position:absolute;left:10;top:2450;width:545;height:585" coordsize="545,585" path="m,l130,r,245l355,,525,,265,275,545,585r-180,l130,310r,275l,585,,xe" fillcolor="black" strokeweight="0">
              <v:path arrowok="t"/>
            </v:shape>
            <v:shape id="_x0000_s1034" style="position:absolute;left:585;top:2435;width:145;height:600" coordsize="145,600" path="m70,l95,5r20,10l130,30r10,20l145,75r-5,20l130,115r-15,15l95,140r-25,5l50,140,30,130,15,115,5,95,,75,5,50,15,30,30,15,50,5,70,xm10,200r125,l135,600r-125,l10,200xe" fillcolor="black" strokeweight="0">
              <v:path arrowok="t"/>
              <o:lock v:ext="edit" verticies="t"/>
            </v:shape>
            <v:shape id="_x0000_s1035" style="position:absolute;left:785;top:2625;width:385;height:410" coordsize="385,410" path="m,10r115,l115,65r5,l145,35,180,10,235,r55,5l330,25r25,30l375,95r5,45l385,190r,220l260,410r,-195l260,185r-5,-30l245,135,225,115r-30,-5l155,115r-20,25l125,175r-5,35l120,410,,410,,10xe" fillcolor="black" strokeweight="0">
              <v:path arrowok="t"/>
            </v:shape>
            <v:shape id="_x0000_s1036" style="position:absolute;left:1215;top:2625;width:435;height:610" coordsize="435,610" path="m435,375r-10,85l400,525r-50,45l285,600r-80,10l130,605,65,585,,550,70,445r40,30l150,490r50,10l250,490r35,-20l305,440r5,-40l310,360r,l275,395r-40,15l195,415,130,405,75,375,35,335,10,275,,205,5,145,30,90,70,40,120,10,180,r65,10l290,30r30,30l320,60r,-50l435,10r,365xm220,305r40,-10l290,275r25,-30l320,205r-5,-35l290,140,260,115r-40,-5l180,115r-30,25l130,170r-5,35l130,245r20,30l180,295r40,10xe" fillcolor="black" strokeweight="0">
              <v:path arrowok="t"/>
              <o:lock v:ext="edit" verticies="t"/>
            </v:shape>
            <v:shape id="_x0000_s1037" style="position:absolute;left:1820;top:2435;width:525;height:615" coordsize="525,615" path="m415,165l385,140,345,125r-40,-5l235,135r-55,40l145,230r-10,75l145,385r35,55l235,480r65,15l345,490r45,-25l420,435r105,80l485,560r-50,30l375,610r-60,5l230,605,155,575,90,530,40,470,10,395,,305,10,220,40,145,90,85,155,40,230,10,315,r50,5l420,20r50,25l510,85r-95,80xe" fillcolor="black" strokeweight="0">
              <v:path arrowok="t"/>
            </v:shape>
            <v:shape id="_x0000_s1038" style="position:absolute;left:2350;top:2625;width:445;height:420" coordsize="445,420" path="m225,r70,10l355,35r45,45l435,140r10,70l435,280r-35,60l355,380r-60,30l225,420,150,410,90,380,45,340,10,280,,210,10,140,45,80,90,35,150,10,225,xm225,310r40,-5l295,280r20,-30l320,210r-5,-40l295,135,265,115r-40,-5l180,115r-30,20l130,170r-5,40l130,250r20,30l180,305r45,5xe" fillcolor="black" strokeweight="0">
              <v:path arrowok="t"/>
              <o:lock v:ext="edit" verticies="t"/>
            </v:shape>
            <v:shape id="_x0000_s1039" style="position:absolute;left:2830;top:2635;width:390;height:410" coordsize="390,410" path="m390,400r-120,l270,345r-5,l245,375r-40,25l150,410,95,405,55,385,30,355,10,315,5,270,,220,,,125,r,195l125,225r5,25l140,275r20,20l190,300r40,-10l250,270r10,-35l265,200,265,,390,r,400xe" fillcolor="black" strokeweight="0">
              <v:path arrowok="t"/>
            </v:shape>
            <v:shape id="_x0000_s1040" style="position:absolute;left:3280;top:2625;width:390;height:410" coordsize="390,410" path="m,10r120,l120,65r5,l145,35,185,10,240,r55,5l335,25r25,30l380,90r5,45l390,190r,220l265,410r,-195l265,185r-5,-30l250,130,230,115r-30,-5l160,115r-20,25l130,170r-5,40l125,410,,410,,10xe" fillcolor="black" strokeweight="0">
              <v:path arrowok="t"/>
            </v:shape>
            <v:shape id="_x0000_s1041" style="position:absolute;left:3690;top:2510;width:315;height:530" coordsize="315,530" path="m315,220r-110,l205,350r,20l205,385r5,15l220,410r10,10l245,425r20,l275,425r15,l305,420r10,-5l315,515r-45,10l230,530r-50,-5l140,510,110,490,90,455,80,410r,-190l,220,,120r80,l80,,205,r,120l315,120r,100xe" fillcolor="black" strokeweight="0">
              <v:path arrowok="t"/>
            </v:shape>
            <v:shape id="_x0000_s1042" style="position:absolute;left:4040;top:2630;width:455;height:600" coordsize="455,600" path="m275,465r-20,50l235,550r-30,25l165,595r-60,5l60,595,10,585,30,485r25,5l85,495r35,-5l140,480r15,-25l170,430r10,-25l,,135,,240,265r,l330,,455,,275,465xe" fillcolor="black" strokeweight="0">
              <v:path arrowok="t"/>
            </v:shape>
          </v:group>
        </w:pict>
      </w:r>
    </w:p>
    <w:p w:rsidR="0003056C" w:rsidRPr="00701ECC" w:rsidRDefault="0003056C" w:rsidP="00701ECC">
      <w:pPr>
        <w:spacing w:line="240" w:lineRule="auto"/>
        <w:jc w:val="center"/>
        <w:rPr>
          <w:rFonts w:ascii="Verdana" w:hAnsi="Verdana"/>
          <w:b/>
          <w:sz w:val="16"/>
          <w:szCs w:val="16"/>
        </w:rPr>
      </w:pPr>
    </w:p>
    <w:p w:rsidR="0003056C" w:rsidRPr="0060164F" w:rsidRDefault="0003056C" w:rsidP="00701ECC">
      <w:pPr>
        <w:jc w:val="center"/>
        <w:rPr>
          <w:rFonts w:ascii="Verdana" w:hAnsi="Verdana"/>
          <w:b/>
        </w:rPr>
      </w:pPr>
      <w:r>
        <w:rPr>
          <w:rFonts w:ascii="Verdana" w:hAnsi="Verdana"/>
          <w:b/>
        </w:rPr>
        <w:t>King County Board of Health</w:t>
      </w:r>
    </w:p>
    <w:p w:rsidR="0003056C" w:rsidRPr="00701ECC" w:rsidRDefault="0003056C" w:rsidP="00701ECC">
      <w:pPr>
        <w:spacing w:line="240" w:lineRule="auto"/>
        <w:jc w:val="center"/>
        <w:rPr>
          <w:rFonts w:ascii="Verdana" w:hAnsi="Verdana"/>
          <w:b/>
          <w:sz w:val="16"/>
          <w:szCs w:val="16"/>
        </w:rPr>
      </w:pPr>
    </w:p>
    <w:p w:rsidR="0003056C" w:rsidRPr="00C81070" w:rsidRDefault="0003056C" w:rsidP="00701ECC">
      <w:pPr>
        <w:jc w:val="center"/>
        <w:rPr>
          <w:rFonts w:ascii="Verdana" w:hAnsi="Verdana"/>
          <w:b/>
          <w:sz w:val="22"/>
          <w:szCs w:val="22"/>
        </w:rPr>
      </w:pPr>
      <w:r w:rsidRPr="00C81070">
        <w:rPr>
          <w:rFonts w:ascii="Verdana" w:hAnsi="Verdana"/>
          <w:b/>
          <w:sz w:val="22"/>
          <w:szCs w:val="22"/>
        </w:rPr>
        <w:t>Staff Report</w:t>
      </w:r>
    </w:p>
    <w:p w:rsidR="0003056C" w:rsidRPr="00701ECC" w:rsidRDefault="0003056C" w:rsidP="00701ECC">
      <w:pPr>
        <w:spacing w:line="240" w:lineRule="auto"/>
        <w:jc w:val="center"/>
        <w:rPr>
          <w:rFonts w:ascii="Verdana" w:hAnsi="Verdana"/>
          <w:b/>
          <w:sz w:val="16"/>
          <w:szCs w:val="16"/>
        </w:rPr>
      </w:pPr>
    </w:p>
    <w:tbl>
      <w:tblPr>
        <w:tblW w:w="0" w:type="auto"/>
        <w:tblBorders>
          <w:top w:val="single" w:sz="4" w:space="0" w:color="auto"/>
          <w:bottom w:val="single" w:sz="4" w:space="0" w:color="auto"/>
        </w:tblBorders>
        <w:tblLook w:val="01E0"/>
      </w:tblPr>
      <w:tblGrid>
        <w:gridCol w:w="4788"/>
        <w:gridCol w:w="4788"/>
      </w:tblGrid>
      <w:tr w:rsidR="0003056C" w:rsidRPr="00347880" w:rsidTr="00347880">
        <w:tc>
          <w:tcPr>
            <w:tcW w:w="4788" w:type="dxa"/>
            <w:tcBorders>
              <w:top w:val="single" w:sz="4" w:space="0" w:color="auto"/>
              <w:bottom w:val="single" w:sz="4" w:space="0" w:color="auto"/>
            </w:tcBorders>
          </w:tcPr>
          <w:p w:rsidR="0003056C" w:rsidRPr="00347880" w:rsidRDefault="0003056C" w:rsidP="00347880">
            <w:pPr>
              <w:tabs>
                <w:tab w:val="left" w:pos="1620"/>
              </w:tabs>
              <w:spacing w:line="240" w:lineRule="auto"/>
              <w:rPr>
                <w:rFonts w:ascii="Verdana" w:hAnsi="Verdana"/>
                <w:b/>
                <w:sz w:val="12"/>
                <w:szCs w:val="12"/>
              </w:rPr>
            </w:pPr>
          </w:p>
          <w:p w:rsidR="0003056C" w:rsidRDefault="0003056C" w:rsidP="00347880">
            <w:pPr>
              <w:tabs>
                <w:tab w:val="left" w:pos="2052"/>
              </w:tabs>
              <w:spacing w:line="320" w:lineRule="exact"/>
              <w:rPr>
                <w:rFonts w:ascii="Verdana" w:hAnsi="Verdana"/>
                <w:sz w:val="20"/>
                <w:szCs w:val="20"/>
              </w:rPr>
            </w:pPr>
            <w:r>
              <w:rPr>
                <w:rFonts w:ascii="Verdana" w:hAnsi="Verdana"/>
                <w:sz w:val="20"/>
                <w:szCs w:val="20"/>
              </w:rPr>
              <w:t>Agenda item No:</w:t>
            </w:r>
            <w:r>
              <w:rPr>
                <w:rFonts w:ascii="Verdana" w:hAnsi="Verdana"/>
                <w:sz w:val="20"/>
                <w:szCs w:val="20"/>
              </w:rPr>
              <w:tab/>
              <w:t>12</w:t>
            </w:r>
          </w:p>
          <w:p w:rsidR="0003056C" w:rsidRPr="00347880" w:rsidRDefault="0003056C" w:rsidP="00347880">
            <w:pPr>
              <w:tabs>
                <w:tab w:val="left" w:pos="2052"/>
              </w:tabs>
              <w:spacing w:line="320" w:lineRule="exact"/>
              <w:rPr>
                <w:rFonts w:ascii="Verdana" w:hAnsi="Verdana"/>
                <w:sz w:val="20"/>
                <w:szCs w:val="20"/>
              </w:rPr>
            </w:pPr>
            <w:r>
              <w:rPr>
                <w:rFonts w:ascii="Verdana" w:hAnsi="Verdana"/>
                <w:sz w:val="20"/>
                <w:szCs w:val="20"/>
              </w:rPr>
              <w:t xml:space="preserve">BOH </w:t>
            </w:r>
            <w:r w:rsidRPr="00347880">
              <w:rPr>
                <w:rFonts w:ascii="Verdana" w:hAnsi="Verdana"/>
                <w:sz w:val="20"/>
                <w:szCs w:val="20"/>
              </w:rPr>
              <w:t>Briefing</w:t>
            </w:r>
            <w:r>
              <w:rPr>
                <w:rFonts w:ascii="Verdana" w:hAnsi="Verdana"/>
                <w:sz w:val="20"/>
                <w:szCs w:val="20"/>
              </w:rPr>
              <w:t xml:space="preserve"> No: 12-B04</w:t>
            </w:r>
            <w:r w:rsidRPr="00347880">
              <w:rPr>
                <w:rFonts w:ascii="Verdana" w:hAnsi="Verdana"/>
                <w:sz w:val="20"/>
                <w:szCs w:val="20"/>
              </w:rPr>
              <w:tab/>
            </w:r>
          </w:p>
          <w:p w:rsidR="0003056C" w:rsidRPr="00347880" w:rsidRDefault="0003056C" w:rsidP="00347880">
            <w:pPr>
              <w:jc w:val="center"/>
              <w:rPr>
                <w:rFonts w:ascii="Verdana" w:hAnsi="Verdana"/>
                <w:b/>
              </w:rPr>
            </w:pPr>
          </w:p>
        </w:tc>
        <w:tc>
          <w:tcPr>
            <w:tcW w:w="4788" w:type="dxa"/>
            <w:tcBorders>
              <w:top w:val="single" w:sz="4" w:space="0" w:color="auto"/>
              <w:bottom w:val="single" w:sz="4" w:space="0" w:color="auto"/>
            </w:tcBorders>
          </w:tcPr>
          <w:p w:rsidR="0003056C" w:rsidRPr="00347880" w:rsidRDefault="0003056C" w:rsidP="00347880">
            <w:pPr>
              <w:tabs>
                <w:tab w:val="left" w:pos="1620"/>
              </w:tabs>
              <w:spacing w:line="240" w:lineRule="auto"/>
              <w:rPr>
                <w:rFonts w:ascii="Verdana" w:hAnsi="Verdana"/>
                <w:b/>
                <w:sz w:val="12"/>
                <w:szCs w:val="12"/>
              </w:rPr>
            </w:pPr>
          </w:p>
          <w:p w:rsidR="0003056C" w:rsidRPr="00347880" w:rsidRDefault="0003056C" w:rsidP="00347880">
            <w:pPr>
              <w:tabs>
                <w:tab w:val="left" w:pos="1692"/>
              </w:tabs>
              <w:spacing w:line="320" w:lineRule="exact"/>
              <w:rPr>
                <w:rFonts w:ascii="Verdana" w:hAnsi="Verdana"/>
                <w:sz w:val="20"/>
                <w:szCs w:val="20"/>
              </w:rPr>
            </w:pPr>
            <w:r w:rsidRPr="00347880">
              <w:rPr>
                <w:rFonts w:ascii="Verdana" w:hAnsi="Verdana"/>
                <w:sz w:val="20"/>
                <w:szCs w:val="20"/>
              </w:rPr>
              <w:t>Date:</w:t>
            </w:r>
            <w:r>
              <w:rPr>
                <w:rFonts w:ascii="Verdana" w:hAnsi="Verdana"/>
                <w:sz w:val="20"/>
                <w:szCs w:val="20"/>
              </w:rPr>
              <w:t xml:space="preserve">  March 15, 2012</w:t>
            </w:r>
            <w:r w:rsidRPr="00347880">
              <w:rPr>
                <w:rFonts w:ascii="Verdana" w:hAnsi="Verdana"/>
                <w:sz w:val="20"/>
                <w:szCs w:val="20"/>
              </w:rPr>
              <w:tab/>
            </w:r>
          </w:p>
          <w:p w:rsidR="0003056C" w:rsidRPr="00347880" w:rsidRDefault="0003056C" w:rsidP="00347880">
            <w:pPr>
              <w:tabs>
                <w:tab w:val="left" w:pos="1692"/>
              </w:tabs>
              <w:spacing w:line="320" w:lineRule="exact"/>
              <w:rPr>
                <w:rFonts w:ascii="Verdana" w:hAnsi="Verdana"/>
                <w:sz w:val="20"/>
                <w:szCs w:val="20"/>
              </w:rPr>
            </w:pPr>
            <w:r w:rsidRPr="00347880">
              <w:rPr>
                <w:rFonts w:ascii="Verdana" w:hAnsi="Verdana"/>
                <w:sz w:val="20"/>
                <w:szCs w:val="20"/>
              </w:rPr>
              <w:t>Prepared by:</w:t>
            </w:r>
            <w:r>
              <w:rPr>
                <w:rFonts w:ascii="Verdana" w:hAnsi="Verdana"/>
                <w:sz w:val="20"/>
                <w:szCs w:val="20"/>
              </w:rPr>
              <w:t xml:space="preserve">  Janna Wilson</w:t>
            </w:r>
            <w:r w:rsidRPr="00347880">
              <w:rPr>
                <w:rFonts w:ascii="Verdana" w:hAnsi="Verdana"/>
                <w:sz w:val="20"/>
                <w:szCs w:val="20"/>
              </w:rPr>
              <w:tab/>
            </w:r>
          </w:p>
          <w:p w:rsidR="0003056C" w:rsidRPr="00347880" w:rsidRDefault="0003056C" w:rsidP="00347880">
            <w:pPr>
              <w:tabs>
                <w:tab w:val="left" w:pos="1692"/>
              </w:tabs>
              <w:spacing w:line="320" w:lineRule="exact"/>
              <w:rPr>
                <w:rFonts w:ascii="Verdana" w:hAnsi="Verdana"/>
                <w:sz w:val="20"/>
                <w:szCs w:val="20"/>
              </w:rPr>
            </w:pPr>
          </w:p>
          <w:p w:rsidR="0003056C" w:rsidRPr="00347880" w:rsidRDefault="0003056C" w:rsidP="00347880">
            <w:pPr>
              <w:jc w:val="center"/>
              <w:rPr>
                <w:rFonts w:ascii="Verdana" w:hAnsi="Verdana"/>
                <w:b/>
              </w:rPr>
            </w:pPr>
          </w:p>
        </w:tc>
      </w:tr>
    </w:tbl>
    <w:p w:rsidR="0003056C" w:rsidRPr="00701ECC" w:rsidRDefault="0003056C" w:rsidP="00701ECC">
      <w:pPr>
        <w:jc w:val="center"/>
        <w:rPr>
          <w:rFonts w:ascii="Verdana" w:hAnsi="Verdana"/>
          <w:b/>
        </w:rPr>
      </w:pPr>
    </w:p>
    <w:p w:rsidR="0003056C" w:rsidRDefault="0003056C" w:rsidP="00C81070">
      <w:pPr>
        <w:pStyle w:val="Heading1"/>
      </w:pPr>
      <w:r>
        <w:t>Subject</w:t>
      </w:r>
    </w:p>
    <w:p w:rsidR="0003056C" w:rsidRPr="005407A6" w:rsidRDefault="0003056C" w:rsidP="00E44E5C">
      <w:pPr>
        <w:pStyle w:val="Text"/>
        <w:rPr>
          <w:sz w:val="24"/>
        </w:rPr>
      </w:pPr>
      <w:r>
        <w:rPr>
          <w:sz w:val="24"/>
        </w:rPr>
        <w:t xml:space="preserve">A briefing on health care reform implementation issues affecting the safety-net health system in </w:t>
      </w:r>
      <w:smartTag w:uri="urn:schemas-microsoft-com:office:smarttags" w:element="PlaceName">
        <w:smartTag w:uri="urn:schemas-microsoft-com:office:smarttags" w:element="place">
          <w:r>
            <w:rPr>
              <w:sz w:val="24"/>
            </w:rPr>
            <w:t>King</w:t>
          </w:r>
        </w:smartTag>
        <w:r>
          <w:rPr>
            <w:sz w:val="24"/>
          </w:rPr>
          <w:t xml:space="preserve"> </w:t>
        </w:r>
        <w:smartTag w:uri="urn:schemas-microsoft-com:office:smarttags" w:element="PlaceType">
          <w:r>
            <w:rPr>
              <w:sz w:val="24"/>
            </w:rPr>
            <w:t>County</w:t>
          </w:r>
        </w:smartTag>
      </w:smartTag>
    </w:p>
    <w:p w:rsidR="0003056C" w:rsidRDefault="0003056C" w:rsidP="00AE3960">
      <w:pPr>
        <w:pStyle w:val="Heading1"/>
      </w:pPr>
      <w:r>
        <w:t>Purpose</w:t>
      </w:r>
    </w:p>
    <w:p w:rsidR="0003056C" w:rsidRDefault="0003056C" w:rsidP="00AE3960">
      <w:r>
        <w:t xml:space="preserve">The purpose of this briefing is to highlight for the Board of Health a set of near-term and longer-term health care reform issues likely to affect the safety-net health care system in </w:t>
      </w:r>
      <w:smartTag w:uri="urn:schemas-microsoft-com:office:smarttags" w:element="PlaceName">
        <w:smartTag w:uri="urn:schemas-microsoft-com:office:smarttags" w:element="place">
          <w:smartTag w:uri="urn:schemas-microsoft-com:office:smarttags" w:element="PlaceName">
            <w:r>
              <w:t>King</w:t>
            </w:r>
          </w:smartTag>
          <w:r>
            <w:t xml:space="preserve"> </w:t>
          </w:r>
          <w:smartTag w:uri="urn:schemas-microsoft-com:office:smarttags" w:element="PlaceType">
            <w:r>
              <w:t>County</w:t>
            </w:r>
          </w:smartTag>
        </w:smartTag>
      </w:smartTag>
      <w:r>
        <w:t xml:space="preserve"> and residents who rely on it. </w:t>
      </w:r>
    </w:p>
    <w:p w:rsidR="0003056C" w:rsidRDefault="0003056C" w:rsidP="00AE3960">
      <w:pPr>
        <w:pStyle w:val="Heading1"/>
      </w:pPr>
      <w:r>
        <w:t>Summary</w:t>
      </w:r>
    </w:p>
    <w:p w:rsidR="0003056C" w:rsidRDefault="0003056C" w:rsidP="00FD7CE9">
      <w:r>
        <w:t xml:space="preserve">Since the Affordable Care Act (ACA) became law nearly two years ago, numerous provisions of the law have been phased in, with some of the most significant coverage expansion provisions yet to go into effect in 2014.  Substantial implementation responsibilities rest at the state level and </w:t>
      </w:r>
      <w:smartTag w:uri="urn:schemas-microsoft-com:office:smarttags" w:element="PlaceName">
        <w:smartTag w:uri="urn:schemas-microsoft-com:office:smarttags" w:element="place">
          <w:r>
            <w:t>Washington</w:t>
          </w:r>
        </w:smartTag>
        <w:r>
          <w:t xml:space="preserve"> </w:t>
        </w:r>
        <w:smartTag w:uri="urn:schemas-microsoft-com:office:smarttags" w:element="PlaceType">
          <w:r>
            <w:t>State</w:t>
          </w:r>
        </w:smartTag>
      </w:smartTag>
      <w:r>
        <w:t xml:space="preserve"> has been actively taking steps to establish the required health insurance Exchange, prepare for expansion of the Medicaid program, and pursue shifts in delivery systems and health purchasing strategies.  </w:t>
      </w:r>
    </w:p>
    <w:p w:rsidR="0003056C" w:rsidRDefault="0003056C" w:rsidP="00FD7CE9">
      <w:r>
        <w:tab/>
      </w:r>
    </w:p>
    <w:p w:rsidR="0003056C" w:rsidRDefault="0003056C" w:rsidP="001C7289">
      <w:r>
        <w:t xml:space="preserve">While the ACA affects the health care system for all residents of </w:t>
      </w:r>
      <w:smartTag w:uri="urn:schemas-microsoft-com:office:smarttags" w:element="PlaceName">
        <w:smartTag w:uri="urn:schemas-microsoft-com:office:smarttags" w:element="place">
          <w:r>
            <w:t>King</w:t>
          </w:r>
        </w:smartTag>
        <w:r>
          <w:t xml:space="preserve"> </w:t>
        </w:r>
        <w:smartTag w:uri="urn:schemas-microsoft-com:office:smarttags" w:element="PlaceType">
          <w:r>
            <w:t>County</w:t>
          </w:r>
        </w:smartTag>
      </w:smartTag>
      <w:r>
        <w:t>, there are particularly significant implications for individuals and families with low incomes.  As a group, they are less likely to be insured, less likely to have a usual source of care, and more likely to experience poor health outcomes compared to other residents.  Numerous opportunities exist in 2012 and 2013 to influence the next phases of state and local implementation activities, and to assure that local systems are well-organized and coordinated to not just address access to health care for individuals and families with low incomes, but also to more effectively address the underlying social determinants of poor health.</w:t>
      </w:r>
    </w:p>
    <w:p w:rsidR="0003056C" w:rsidRPr="00AE3960" w:rsidRDefault="0003056C" w:rsidP="00AE3960">
      <w:pPr>
        <w:pStyle w:val="Heading1"/>
      </w:pPr>
      <w:r>
        <w:t>B</w:t>
      </w:r>
      <w:r w:rsidRPr="00AE3960">
        <w:t>ackground</w:t>
      </w:r>
    </w:p>
    <w:p w:rsidR="0003056C" w:rsidRDefault="0003056C" w:rsidP="00526A4E">
      <w:r>
        <w:t xml:space="preserve">In September 2008, the Board of Health adopted Resolution 08-10.1, adopting a set of principles regarding health reform.  It reaffirmed the long-term provision goal of the Public Health Operational Master Plan (PHOMP) to increase healthy years lived by people in King County and to eliminate health disparities through access to affordable, appropriate and quality health care services.   The Board found that health care reform was necessary to achieve the long-term goals of the PHOMP, and directed the department to use the principles in evaluating health reform and advocating with state and federal governments.  The six principles were (1) access for all; (2) quality health care; (3) financially sustainable; (4) responsive to patients and communities; (5) focus on health promotion and disease prevention; and (6) focus on achieving health equity.  </w:t>
      </w:r>
    </w:p>
    <w:p w:rsidR="0003056C" w:rsidRDefault="0003056C" w:rsidP="00526A4E"/>
    <w:p w:rsidR="0003056C" w:rsidRDefault="0003056C" w:rsidP="00526A4E">
      <w:r>
        <w:t xml:space="preserve">On March 23, 2010, </w:t>
      </w:r>
      <w:r w:rsidRPr="00474732">
        <w:t>President Obama signed H.R. 3590, the Patient Protection and Affordable Care Act</w:t>
      </w:r>
      <w:r>
        <w:t xml:space="preserve"> (ACA)</w:t>
      </w:r>
      <w:r w:rsidRPr="00474732">
        <w:t>.</w:t>
      </w:r>
      <w:r>
        <w:t xml:space="preserve">  “Access for all” is clearly a foundation of the law, which will extend health coverage to more 30 million people nationally for those who are citizens and lawfully present immigrants.  This will be achieved primarily through a significant expansion of the Medicaid program and by providing subsidies to help low and middle income people purchase coverage.  The ACA is currently undergoing several legal challenges, and in late March 2012 the US Supreme Court will hear oral arguments. </w:t>
      </w:r>
    </w:p>
    <w:p w:rsidR="0003056C" w:rsidRDefault="0003056C" w:rsidP="00526A4E"/>
    <w:p w:rsidR="0003056C" w:rsidRDefault="0003056C" w:rsidP="00526A4E">
      <w:r>
        <w:t xml:space="preserve">The sections below provide additional background on the implementation status of major elements of health reform in </w:t>
      </w:r>
      <w:smartTag w:uri="urn:schemas-microsoft-com:office:smarttags" w:element="PlaceType">
        <w:r>
          <w:t>Washington</w:t>
        </w:r>
      </w:smartTag>
      <w:r>
        <w:t xml:space="preserve"> </w:t>
      </w:r>
      <w:smartTag w:uri="urn:schemas-microsoft-com:office:smarttags" w:element="PlaceType">
        <w:r>
          <w:t>State</w:t>
        </w:r>
      </w:smartTag>
      <w:r>
        <w:t xml:space="preserve"> and impacts for </w:t>
      </w:r>
      <w:smartTag w:uri="urn:schemas-microsoft-com:office:smarttags" w:element="PlaceType">
        <w:smartTag w:uri="urn:schemas-microsoft-com:office:smarttags" w:element="PlaceType">
          <w:r>
            <w:t>King</w:t>
          </w:r>
        </w:smartTag>
        <w:r>
          <w:t xml:space="preserve"> </w:t>
        </w:r>
        <w:smartTag w:uri="urn:schemas-microsoft-com:office:smarttags" w:element="PlaceType">
          <w:r>
            <w:t>County</w:t>
          </w:r>
        </w:smartTag>
      </w:smartTag>
      <w:r>
        <w:t xml:space="preserve"> where known. </w:t>
      </w:r>
    </w:p>
    <w:p w:rsidR="0003056C" w:rsidRDefault="0003056C" w:rsidP="00526A4E"/>
    <w:p w:rsidR="0003056C" w:rsidRPr="00797ACC" w:rsidRDefault="0003056C" w:rsidP="00807F72">
      <w:r w:rsidRPr="00797ACC">
        <w:t>1.  Health Insurance Exchange</w:t>
      </w:r>
    </w:p>
    <w:p w:rsidR="0003056C" w:rsidRDefault="0003056C" w:rsidP="00807F72"/>
    <w:p w:rsidR="0003056C" w:rsidRDefault="0003056C" w:rsidP="00807F72">
      <w:r>
        <w:t xml:space="preserve">The ACA requires that states establish health insurance Exchanges to help people purchase health care coverage.  In 2011 the </w:t>
      </w:r>
      <w:smartTag w:uri="urn:schemas-microsoft-com:office:smarttags" w:element="PlaceType">
        <w:r>
          <w:t>Washington</w:t>
        </w:r>
      </w:smartTag>
      <w:r>
        <w:t xml:space="preserve"> </w:t>
      </w:r>
      <w:smartTag w:uri="urn:schemas-microsoft-com:office:smarttags" w:element="PlaceType">
        <w:r>
          <w:t>State</w:t>
        </w:r>
      </w:smartTag>
      <w:r>
        <w:t xml:space="preserve"> legislature designated the Health Care Authority (HCA) as the lead organization to build </w:t>
      </w:r>
      <w:smartTag w:uri="urn:schemas-microsoft-com:office:smarttags" w:element="PlaceType">
        <w:smartTag w:uri="urn:schemas-microsoft-com:office:smarttags" w:element="PlaceType">
          <w:r>
            <w:t>Washington</w:t>
          </w:r>
        </w:smartTag>
        <w:r>
          <w:t xml:space="preserve"> </w:t>
        </w:r>
        <w:smartTag w:uri="urn:schemas-microsoft-com:office:smarttags" w:element="PlaceType">
          <w:r>
            <w:t>State</w:t>
          </w:r>
        </w:smartTag>
      </w:smartTag>
      <w:r>
        <w:t xml:space="preserve">’s Exchange.  HCA applied for and received a $23 million federal establishment grant to proceed with policy development, stakeholder engagement, information technology (IT) development, and operational plans.  In January 2012, HCA selected a vendor to design, develop and implement the state's Exchange IT system.  A nine-member Governing Board appointed by the Governor oversees the Exchange; King County Board of Health member Dr. Ben Danielson is one of the members.   </w:t>
      </w:r>
    </w:p>
    <w:p w:rsidR="0003056C" w:rsidRDefault="0003056C" w:rsidP="00807F72"/>
    <w:p w:rsidR="0003056C" w:rsidRDefault="0003056C" w:rsidP="00807F72">
      <w:r>
        <w:t xml:space="preserve">Among its functions, the Exchange, scheduled to go into operation on January 1, 2014, will certify whether a plan is qualified to be offered in the Exchange, help shoppers understand their options, and arrange the federal subsidies for eligible people whose incomes fall between 133 - 400% of federal poverty level.  Plans that are offered in the Exchange will be subject to various requirements, including provision of a federally defined set of ten “essential health benefits.”   Exchanges must also establish a “Navigator” program and award grants to entities to promote public education about and help with enrollment, and the State recently released for comment a policy white paper regarding principles for Navigator functions.  The Exchange must be coordinated with Medicaid eligibility and enrollment processes.  </w:t>
      </w:r>
    </w:p>
    <w:p w:rsidR="0003056C" w:rsidRDefault="0003056C" w:rsidP="00807F72"/>
    <w:p w:rsidR="0003056C" w:rsidRDefault="0003056C" w:rsidP="00807F72">
      <w:r>
        <w:t>In the 2012 session, the state legislature passed HB 2319 which provided further implementation of the Exchange, including naming it the “Evergreen Health Marketplace.”  One of the decisions the state must make is whether to establish and offer a “basic health plan” for people with incomes between 133% and 200% of federal poverty level (FPL).</w:t>
      </w:r>
      <w:r>
        <w:rPr>
          <w:rStyle w:val="FootnoteReference"/>
        </w:rPr>
        <w:footnoteReference w:id="1"/>
      </w:r>
      <w:r>
        <w:t xml:space="preserve">  HB 2319 allows for design and development work for a basic health option; additional legislative action would be required in 2013 to allow for full implementation of the program.  </w:t>
      </w:r>
    </w:p>
    <w:p w:rsidR="0003056C" w:rsidRDefault="0003056C" w:rsidP="00807F72"/>
    <w:p w:rsidR="0003056C" w:rsidRPr="00797ACC" w:rsidRDefault="0003056C" w:rsidP="008C35C7">
      <w:r w:rsidRPr="00797ACC">
        <w:t xml:space="preserve">2.  Medicaid Expansion </w:t>
      </w:r>
    </w:p>
    <w:p w:rsidR="0003056C" w:rsidRDefault="0003056C" w:rsidP="00807F72"/>
    <w:p w:rsidR="0003056C" w:rsidRDefault="0003056C" w:rsidP="00390834">
      <w:r>
        <w:t xml:space="preserve">On January 1, 2014, the Medicaid program will expand to non-Medicare eligible individuals under age 65 with incomes up to 133% of FPL.  The newly eligible will be guaranteed a </w:t>
      </w:r>
      <w:r w:rsidRPr="00C25A78">
        <w:t xml:space="preserve">benchmark benefit package that meets the essential health benefits available through the </w:t>
      </w:r>
      <w:r>
        <w:t>E</w:t>
      </w:r>
      <w:r w:rsidRPr="00C25A78">
        <w:t xml:space="preserve">xchange.  The federal government pays the full cost of the expansion </w:t>
      </w:r>
      <w:r>
        <w:t xml:space="preserve">for </w:t>
      </w:r>
      <w:r w:rsidRPr="00C25A78">
        <w:t>2014 – 2016, 95% federal financing in 2017, 94% federal financing in 2018, 93% federal financing in 2019, and 90% federal financing for 2020 and subsequent years</w:t>
      </w:r>
      <w:r>
        <w:t xml:space="preserve">. </w:t>
      </w:r>
    </w:p>
    <w:p w:rsidR="0003056C" w:rsidRDefault="0003056C" w:rsidP="00390834"/>
    <w:p w:rsidR="0003056C" w:rsidRDefault="0003056C" w:rsidP="00390834">
      <w:r>
        <w:t xml:space="preserve">An analysis of how many people are expected to “take up” Medicaid coverage in </w:t>
      </w:r>
      <w:smartTag w:uri="urn:schemas-microsoft-com:office:smarttags" w:element="PlaceType">
        <w:r>
          <w:t>Washington</w:t>
        </w:r>
      </w:smartTag>
      <w:r>
        <w:t xml:space="preserve"> state was recently prepared by the Urban Institute.</w:t>
      </w:r>
      <w:r>
        <w:rPr>
          <w:rStyle w:val="FootnoteReference"/>
        </w:rPr>
        <w:footnoteReference w:id="2"/>
      </w:r>
      <w:r>
        <w:t xml:space="preserve"> The Urban Institute concluded that about 545,000 people are currently eligible but not enrolled (many in this group have private coverage), and about 500,000 will become newly eligible for the Medicaid program – in total, over 1,000,000 </w:t>
      </w:r>
      <w:r w:rsidRPr="0036089B">
        <w:rPr>
          <w:i/>
        </w:rPr>
        <w:t>potential</w:t>
      </w:r>
      <w:r>
        <w:t xml:space="preserve"> new enrollees exist.  Of those, an estimated 328,221 people are projected to enroll.  This includes 250,308 people who are newly eligible, plus another 77,913 people from the group who are currently eligible but not enrolled.  Nearly all the new Medicaid enrollees are expected to be adults.   </w:t>
      </w:r>
    </w:p>
    <w:p w:rsidR="0003056C" w:rsidRDefault="0003056C" w:rsidP="00390834"/>
    <w:p w:rsidR="0003056C" w:rsidRDefault="0003056C" w:rsidP="00390834">
      <w:r>
        <w:t xml:space="preserve">In </w:t>
      </w:r>
      <w:smartTag w:uri="urn:schemas-microsoft-com:office:smarttags" w:element="PlaceType">
        <w:smartTag w:uri="urn:schemas-microsoft-com:office:smarttags" w:element="PlaceType">
          <w:r>
            <w:t>King</w:t>
          </w:r>
        </w:smartTag>
        <w:r>
          <w:t xml:space="preserve"> </w:t>
        </w:r>
        <w:smartTag w:uri="urn:schemas-microsoft-com:office:smarttags" w:element="PlaceType">
          <w:r>
            <w:t>County</w:t>
          </w:r>
        </w:smartTag>
      </w:smartTag>
      <w:r>
        <w:t xml:space="preserve">, approximately 125,000 people under 133% of FPL are uninsured.  Public Health-Seattle &amp; King County Assessment, Policy Development, and Evaluation unit estimates that of those, about 65,000-95,000 people would gain coverage under Medicaid by 2019.  </w:t>
      </w:r>
    </w:p>
    <w:p w:rsidR="0003056C" w:rsidRDefault="0003056C" w:rsidP="00390834"/>
    <w:p w:rsidR="0003056C" w:rsidRPr="00797ACC" w:rsidRDefault="0003056C" w:rsidP="00390834">
      <w:r w:rsidRPr="00797ACC">
        <w:t>3.  Health System Transformation</w:t>
      </w:r>
    </w:p>
    <w:p w:rsidR="0003056C" w:rsidRPr="00613559" w:rsidRDefault="0003056C" w:rsidP="00390834">
      <w:pPr>
        <w:rPr>
          <w:u w:val="single"/>
        </w:rPr>
      </w:pPr>
    </w:p>
    <w:p w:rsidR="0003056C" w:rsidRDefault="0003056C" w:rsidP="00F05FED">
      <w:r>
        <w:t>One of the common frameworks for transforming the United States health system is known as the Triple Aim, which calls for the</w:t>
      </w:r>
      <w:r w:rsidRPr="00BF5A8E">
        <w:t xml:space="preserve"> </w:t>
      </w:r>
      <w:r w:rsidRPr="009B7C38">
        <w:t>simultaneous</w:t>
      </w:r>
      <w:r>
        <w:t xml:space="preserve"> pursuit of three objectives: (1) improving the health of the population; (2) enhancing the patient experience of care (including quality, access, and reliability), and (3) reducing, or at least controlling, the per capita cost of care.</w:t>
      </w:r>
      <w:r>
        <w:rPr>
          <w:rStyle w:val="FootnoteReference"/>
        </w:rPr>
        <w:footnoteReference w:id="3"/>
      </w:r>
      <w:r>
        <w:t xml:space="preserve">  The ACA includes a wide range of provisions to incent better management of individual and population health through numerous demonstrations and initiatives, and activities related to these transformation efforts are underway in regions across the state, including </w:t>
      </w:r>
      <w:smartTag w:uri="urn:schemas-microsoft-com:office:smarttags" w:element="PlaceType">
        <w:smartTag w:uri="urn:schemas-microsoft-com:office:smarttags" w:element="PlaceType">
          <w:r>
            <w:t>King</w:t>
          </w:r>
        </w:smartTag>
        <w:r>
          <w:t xml:space="preserve"> </w:t>
        </w:r>
        <w:smartTag w:uri="urn:schemas-microsoft-com:office:smarttags" w:element="PlaceType">
          <w:r>
            <w:t>County</w:t>
          </w:r>
        </w:smartTag>
      </w:smartTag>
      <w:r>
        <w:t xml:space="preserve">.  </w:t>
      </w:r>
    </w:p>
    <w:p w:rsidR="0003056C" w:rsidRPr="00BF5A8E" w:rsidRDefault="0003056C" w:rsidP="00F05FED"/>
    <w:p w:rsidR="0003056C" w:rsidRDefault="0003056C" w:rsidP="00F05FED">
      <w:r w:rsidRPr="009B7C38">
        <w:rPr>
          <w:u w:val="single"/>
        </w:rPr>
        <w:t>New attention to high risk, high cost beneficiaries of Medicaid and Medicare</w:t>
      </w:r>
      <w:r w:rsidRPr="00BF5A8E">
        <w:t>.</w:t>
      </w:r>
      <w:r>
        <w:t xml:space="preserve">  One current priority of transformation efforts is the highest cost, highest risk beneficiaries in the Medicaid and Medicare programs, where chronic health conditions, poorly coordinated care, high levels of hospital readmissions and emergency department use, and poor health outcomes provide opportunities for significant improvement and cost savings.  </w:t>
      </w:r>
      <w:smartTag w:uri="urn:schemas-microsoft-com:office:smarttags" w:element="PlaceType">
        <w:r>
          <w:t>Washington</w:t>
        </w:r>
      </w:smartTag>
      <w:r>
        <w:t>, for example, is one of 15 states that received a federal planning grant to design an integrated delivery system for people who are dually eligible for Medicaid and Medicare, a group of low-income elderly and younger people with disabilities who have significant and costly medical, behavioral health, long-term care, and social needs.</w:t>
      </w:r>
      <w:r>
        <w:rPr>
          <w:rStyle w:val="FootnoteReference"/>
        </w:rPr>
        <w:footnoteReference w:id="4"/>
      </w:r>
      <w:r>
        <w:t xml:space="preserve">  In March 2012, the State will be issuing for public comment its proposed delivery design prior to submitting it for federal approval.  The State has also been examining other routes to strengthen the integration and cross-system coordination among medical, behavioral health, long term care services, and social services for high risk populations in Medicaid who drive high costs.  These actions include potential shifts in Medicaid financing that could bring changes to county roles in the Medicaid mental health/substance abuse service systems and Area Agency on Aging roles in Medicaid long-term care supports and services. </w:t>
      </w:r>
    </w:p>
    <w:p w:rsidR="0003056C" w:rsidRDefault="0003056C" w:rsidP="00F12FEF"/>
    <w:p w:rsidR="0003056C" w:rsidRDefault="0003056C" w:rsidP="00390834">
      <w:r w:rsidRPr="009B7C38">
        <w:rPr>
          <w:u w:val="single"/>
        </w:rPr>
        <w:t>Changes in managed care environment</w:t>
      </w:r>
      <w:r w:rsidRPr="00BF5A8E">
        <w:t>.</w:t>
      </w:r>
      <w:r>
        <w:t xml:space="preserve">  Another upcoming change affecting the local service delivery system is driven by the State’s policy decision to move the majority of the Medicaid population into the managed care marketplace for the delivery of medical services.  </w:t>
      </w:r>
      <w:r w:rsidRPr="00956902">
        <w:t xml:space="preserve">Managed care is an approach to financing and delivering health care that seeks to control costs and improve quality of care through a variety of techniques, including </w:t>
      </w:r>
      <w:r>
        <w:t xml:space="preserve">selective contracting with health care providers, </w:t>
      </w:r>
      <w:r w:rsidRPr="00956902">
        <w:t>utilization management</w:t>
      </w:r>
      <w:r>
        <w:t>,</w:t>
      </w:r>
      <w:r w:rsidRPr="00956902">
        <w:t xml:space="preserve"> quality assurance</w:t>
      </w:r>
      <w:r>
        <w:t>, and care management.  In February 2012, the Health Care Authority announced the selection of five vendors to offer managed care plans to the Medicaid and Basic Health populations for the July 1, 2012 – December 31, 2013 period.</w:t>
      </w:r>
      <w:r>
        <w:rPr>
          <w:rStyle w:val="FootnoteReference"/>
        </w:rPr>
        <w:footnoteReference w:id="5"/>
      </w:r>
      <w:r>
        <w:t xml:space="preserve">  With these new contracts will also come important changes in the managed care population:  HCA intends to now use managed care for Medicaid blind and disabled clients who are eligible for Supplemental Security Income (SSI).  Previously, care for SSI recipients has been paid on a fee-for-service basis.  Children in foster care may also be served through managed care, although will it not be required. The managed care plans will be subject to new quality standards and various expectations for coordination with mental health Regional Support Networks, local public health programs, and others. </w:t>
      </w:r>
    </w:p>
    <w:p w:rsidR="0003056C" w:rsidRDefault="0003056C" w:rsidP="00390834"/>
    <w:p w:rsidR="0003056C" w:rsidRDefault="0003056C" w:rsidP="00390834">
      <w:r w:rsidRPr="009B7C38">
        <w:rPr>
          <w:u w:val="single"/>
        </w:rPr>
        <w:t xml:space="preserve">Local health </w:t>
      </w:r>
      <w:r>
        <w:rPr>
          <w:u w:val="single"/>
        </w:rPr>
        <w:t xml:space="preserve">and behavioral health </w:t>
      </w:r>
      <w:r w:rsidRPr="009B7C38">
        <w:rPr>
          <w:u w:val="single"/>
        </w:rPr>
        <w:t>systems work on transformation</w:t>
      </w:r>
      <w:r>
        <w:t xml:space="preserve">. There is also significant activity occurring at the local level among hospital systems, behavioral health, long-term care, primary care, and others to foster partnerships that will improve the quality, integration, and coordination of care across the safety net.  For example, community and public health centers are taking steps to gain recognition as “patient centered medical homes,” meaning that they are shifting the care model to organize care around patients, working in teams to coordinate and track care over time (supported through increased use of electronic health records and other information technology tools), and helping assure that patients get the right care in the right place at the right time.  Partnerships are growing among primary care and mental health/substance abuse agencies to integrate care in innovative models.  Many community mental health centers are also developing health homes and integrating primary care services into their agencies to meet the overall health needs of individuals with serious mental illness. Access to and demand for behavioral health services is expected to increase significantly under reform; these services are one of the ten “essential health benefits” and must be provided at parity with medical benefits.  </w:t>
      </w:r>
    </w:p>
    <w:p w:rsidR="0003056C" w:rsidRDefault="0003056C" w:rsidP="00390834"/>
    <w:p w:rsidR="0003056C" w:rsidRDefault="0003056C" w:rsidP="000016CB">
      <w:r w:rsidRPr="009B7C38">
        <w:rPr>
          <w:u w:val="single"/>
        </w:rPr>
        <w:t>Applying for federal resources to benefit King County</w:t>
      </w:r>
      <w:r>
        <w:t xml:space="preserve">. Recognizing that many innovations occur at the local level, the Centers for Medicare and Medicaid Innovation held a national competition in early 2012 called the “Health Care Innovation Challenge,” soliciting projects that could meet the three-part aim.  Public Health-Seattle &amp; King County was among many entities in the region who submitted an application under this highly competitive opportunity, in partnership with the City of Seattle, Harborview Medical Center, HealthPoint Community Health Centers, Global to Local, and others.  Awards are expected to be announced in late March 2012.  </w:t>
      </w:r>
    </w:p>
    <w:p w:rsidR="0003056C" w:rsidRDefault="0003056C" w:rsidP="00390834"/>
    <w:p w:rsidR="0003056C" w:rsidRDefault="0003056C" w:rsidP="00390834">
      <w:r w:rsidRPr="009B7C38">
        <w:rPr>
          <w:bCs/>
          <w:u w:val="single"/>
        </w:rPr>
        <w:t>King County Health Reform Planning Team</w:t>
      </w:r>
      <w:r>
        <w:t xml:space="preserve">.   In summer 2011, Public Health-Seattle &amp; King County and King County’s Department of Community &amp; Human Services co-convened a </w:t>
      </w:r>
      <w:r w:rsidRPr="00BF5A8E">
        <w:t>"</w:t>
      </w:r>
      <w:hyperlink r:id="rId7" w:history="1">
        <w:r w:rsidRPr="009B7C38">
          <w:rPr>
            <w:rStyle w:val="Hyperlink"/>
            <w:color w:val="auto"/>
            <w:u w:val="none"/>
          </w:rPr>
          <w:t>Health Reform Planning Team</w:t>
        </w:r>
      </w:hyperlink>
      <w:r>
        <w:t xml:space="preserve">" that is focused on the safety net population.  This voluntary coalition of health and social service safety net system representatives, including consumer representatives, is focused on the design and implementation of cross-system strategies that will improve the coordination and integration of care for low-income, uninsured, and Medicaid populations in King County, both today and in preparation for Medicaid expansion in 2014.  </w:t>
      </w:r>
    </w:p>
    <w:p w:rsidR="0003056C" w:rsidRDefault="0003056C" w:rsidP="00390834"/>
    <w:p w:rsidR="0003056C" w:rsidRDefault="0003056C" w:rsidP="00390834">
      <w:r>
        <w:t xml:space="preserve">Recognizing the relationship between health status and the social and environmental conditions in which people live, the coalition has articulated a vision for a King County safety-net health system that goes beyond the provision of health care services. It seeks to promote a health system design that is effective in addressing the social determinants of health, one that incorporates prevention and wellness services at both the individual and community level, and one that integrates access to needed social services that impact overall well-being, such as housing, employment, justice system programs, and other social services.  The Planning Team meets monthly and is interacting closely with State partners to help inform and influence reform initiatives affecting the region. </w:t>
      </w:r>
    </w:p>
    <w:p w:rsidR="0003056C" w:rsidRDefault="0003056C" w:rsidP="00AE3960">
      <w:pPr>
        <w:pStyle w:val="Heading1"/>
        <w:rPr>
          <w:sz w:val="24"/>
          <w:szCs w:val="24"/>
        </w:rPr>
      </w:pPr>
      <w:r>
        <w:rPr>
          <w:sz w:val="24"/>
          <w:szCs w:val="24"/>
        </w:rPr>
        <w:t>A</w:t>
      </w:r>
      <w:r w:rsidRPr="00526A4E">
        <w:rPr>
          <w:sz w:val="24"/>
          <w:szCs w:val="24"/>
        </w:rPr>
        <w:t>nalysis</w:t>
      </w:r>
    </w:p>
    <w:p w:rsidR="0003056C" w:rsidRDefault="0003056C" w:rsidP="00126FDF">
      <w:r>
        <w:t xml:space="preserve">As a result of coverage expansion in 2014, King County expects that the number of uninsured in our region will decline, addressing one of the central roadblocks to improved population health.   Being eligible for coverage, however, does not necessarily translate into access to needed preventive and other health services, nor does it assure that services will be available in a culturally appropriate manner.  For the county’s low-income residents, many will still face numerous barriers, such as language and literacy challenges, transportation, homelessness, and more.  Assuring that the upcoming Navigator program builds on the capacity and expertise of trusted community-based and county/ public health service agencies will be important in reaching out to and enrolling vulnerable populations into coverage.  Encouraging maximum participation in state and federally funded coverage and subsidy programs for King County residents is a fundamental strategy for expanding access and improving health equity.  It should be noted that coverage options for undocumented immigrants do not change under reform; they are not eligible for Medicaid or for subsidies in the Exchange and will continue to experience a high uninsured rate. </w:t>
      </w:r>
    </w:p>
    <w:p w:rsidR="0003056C" w:rsidRDefault="0003056C" w:rsidP="00526A4E"/>
    <w:p w:rsidR="0003056C" w:rsidRDefault="0003056C" w:rsidP="00526A4E">
      <w:r>
        <w:t xml:space="preserve">Much remains unknown about the adequacy of the community health and behavioral health systems to meet the anticipated new demand, especially the demand driven by increases in the Medicaid program and Exchange coverage.  The safety net health system is a critical element in provision of care in underserved communities, and without expansion, this region’s primary care infrastructure may be insufficient to meet the expected demand from newly Medicaid-eligible individuals and those who remain uninsured.  ACA appropriations for health center expansion have been scaled back, as has the Prevention and Public Health Fund which authorized important community-based interventions such as more widespread use of community health workers.  Because expansions in health care access and public health infrastructure have not been occurring at the levels needed or envisioned under the ACA, the local health systems will remain challenged in their efforts to prepare and support realization of the full benefits of reform for county residents. </w:t>
      </w:r>
    </w:p>
    <w:p w:rsidR="0003056C" w:rsidRPr="00263317" w:rsidRDefault="0003056C" w:rsidP="00BF5A8E"/>
    <w:sectPr w:rsidR="0003056C" w:rsidRPr="00263317" w:rsidSect="003B6C9C">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56C" w:rsidRDefault="0003056C">
      <w:r>
        <w:separator/>
      </w:r>
    </w:p>
  </w:endnote>
  <w:endnote w:type="continuationSeparator" w:id="0">
    <w:p w:rsidR="0003056C" w:rsidRDefault="000305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56C" w:rsidRDefault="0003056C" w:rsidP="00280D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056C" w:rsidRDefault="0003056C" w:rsidP="00280D1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056C" w:rsidRPr="00280D1C" w:rsidRDefault="0003056C" w:rsidP="00280D1C">
    <w:pPr>
      <w:pStyle w:val="Footer"/>
      <w:framePr w:wrap="around" w:vAnchor="text" w:hAnchor="margin" w:xAlign="right" w:y="1"/>
      <w:rPr>
        <w:rStyle w:val="PageNumber"/>
        <w:rFonts w:ascii="Verdana" w:hAnsi="Verdana"/>
        <w:b/>
      </w:rPr>
    </w:pPr>
    <w:r w:rsidRPr="00280D1C">
      <w:rPr>
        <w:rStyle w:val="PageNumber"/>
        <w:rFonts w:ascii="Verdana" w:hAnsi="Verdana"/>
        <w:b/>
      </w:rPr>
      <w:fldChar w:fldCharType="begin"/>
    </w:r>
    <w:r w:rsidRPr="00280D1C">
      <w:rPr>
        <w:rStyle w:val="PageNumber"/>
        <w:rFonts w:ascii="Verdana" w:hAnsi="Verdana"/>
        <w:b/>
      </w:rPr>
      <w:instrText xml:space="preserve">PAGE  </w:instrText>
    </w:r>
    <w:r w:rsidRPr="00280D1C">
      <w:rPr>
        <w:rStyle w:val="PageNumber"/>
        <w:rFonts w:ascii="Verdana" w:hAnsi="Verdana"/>
        <w:b/>
      </w:rPr>
      <w:fldChar w:fldCharType="separate"/>
    </w:r>
    <w:r>
      <w:rPr>
        <w:rStyle w:val="PageNumber"/>
        <w:rFonts w:ascii="Verdana" w:hAnsi="Verdana"/>
        <w:b/>
        <w:noProof/>
      </w:rPr>
      <w:t>1</w:t>
    </w:r>
    <w:r w:rsidRPr="00280D1C">
      <w:rPr>
        <w:rStyle w:val="PageNumber"/>
        <w:rFonts w:ascii="Verdana" w:hAnsi="Verdana"/>
        <w:b/>
      </w:rPr>
      <w:fldChar w:fldCharType="end"/>
    </w:r>
  </w:p>
  <w:p w:rsidR="0003056C" w:rsidRDefault="0003056C" w:rsidP="00280D1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56C" w:rsidRDefault="0003056C">
      <w:r>
        <w:separator/>
      </w:r>
    </w:p>
  </w:footnote>
  <w:footnote w:type="continuationSeparator" w:id="0">
    <w:p w:rsidR="0003056C" w:rsidRDefault="0003056C">
      <w:r>
        <w:continuationSeparator/>
      </w:r>
    </w:p>
  </w:footnote>
  <w:footnote w:id="1">
    <w:p w:rsidR="0003056C" w:rsidRDefault="0003056C">
      <w:pPr>
        <w:pStyle w:val="FootnoteText"/>
      </w:pPr>
      <w:r>
        <w:rPr>
          <w:rStyle w:val="FootnoteReference"/>
        </w:rPr>
        <w:footnoteRef/>
      </w:r>
      <w:r>
        <w:t xml:space="preserve"> In 2012, 133% of the federal poverty level is $14,856 for a family of one; and $30,657 for a family of four.</w:t>
      </w:r>
    </w:p>
  </w:footnote>
  <w:footnote w:id="2">
    <w:p w:rsidR="0003056C" w:rsidRDefault="0003056C">
      <w:pPr>
        <w:pStyle w:val="FootnoteText"/>
      </w:pPr>
      <w:r>
        <w:rPr>
          <w:rStyle w:val="FootnoteReference"/>
        </w:rPr>
        <w:footnoteRef/>
      </w:r>
      <w:r>
        <w:t xml:space="preserve"> Understanding Newly Covered Populations: Health Reform in </w:t>
      </w:r>
      <w:smartTag w:uri="urn:schemas-microsoft-com:office:smarttags" w:element="PlaceName">
        <w:smartTag w:uri="urn:schemas-microsoft-com:office:smarttags" w:element="place">
          <w:r>
            <w:t>Washington</w:t>
          </w:r>
        </w:smartTag>
        <w:r>
          <w:t xml:space="preserve"> </w:t>
        </w:r>
        <w:smartTag w:uri="urn:schemas-microsoft-com:office:smarttags" w:element="PlaceType">
          <w:r>
            <w:t>State</w:t>
          </w:r>
        </w:smartTag>
      </w:smartTag>
      <w:r>
        <w:t xml:space="preserve">. Findings from Augmented WSPS Dataset.  Urban Institute. November 2011. </w:t>
      </w:r>
    </w:p>
  </w:footnote>
  <w:footnote w:id="3">
    <w:p w:rsidR="0003056C" w:rsidRDefault="0003056C">
      <w:pPr>
        <w:pStyle w:val="FootnoteText"/>
      </w:pPr>
      <w:r>
        <w:rPr>
          <w:rStyle w:val="FootnoteReference"/>
        </w:rPr>
        <w:footnoteRef/>
      </w:r>
      <w:r>
        <w:t xml:space="preserve"> Institute for Healthcare Improvement: </w:t>
      </w:r>
      <w:hyperlink r:id="rId1" w:history="1">
        <w:r w:rsidRPr="008E099F">
          <w:rPr>
            <w:rStyle w:val="Hyperlink"/>
          </w:rPr>
          <w:t>http://www.ihi.org/offerings/Initiatives/TripleAim/Pages/default.aspx</w:t>
        </w:r>
      </w:hyperlink>
    </w:p>
  </w:footnote>
  <w:footnote w:id="4">
    <w:p w:rsidR="0003056C" w:rsidRDefault="0003056C">
      <w:pPr>
        <w:pStyle w:val="FootnoteText"/>
      </w:pPr>
      <w:r>
        <w:rPr>
          <w:rStyle w:val="FootnoteReference"/>
        </w:rPr>
        <w:footnoteRef/>
      </w:r>
      <w:r>
        <w:t xml:space="preserve"> In December 2010, there were 31,226 dual eligible beneficiaries in King County; 76% of them were age 55 or older; 24% were under 55.  Statewide in 2010 there were 112,208 dually eligible individuals.</w:t>
      </w:r>
    </w:p>
  </w:footnote>
  <w:footnote w:id="5">
    <w:p w:rsidR="0003056C" w:rsidRDefault="0003056C">
      <w:pPr>
        <w:pStyle w:val="FootnoteText"/>
      </w:pPr>
      <w:r>
        <w:rPr>
          <w:rStyle w:val="FootnoteReference"/>
        </w:rPr>
        <w:footnoteRef/>
      </w:r>
      <w:r>
        <w:t xml:space="preserve"> The five vendors are Community Health Plan of Washington; Molina Healthcare of Washington; Amerigroup RealSolutions; United Healthcare Community Plan; and Coordinated Care Corporation (Centene).  The latter three entities would be new to serving the Medicaid population in King County.</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C3CAB"/>
    <w:multiLevelType w:val="hybridMultilevel"/>
    <w:tmpl w:val="5A9ED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2C2123"/>
    <w:multiLevelType w:val="multilevel"/>
    <w:tmpl w:val="F900F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747688"/>
    <w:multiLevelType w:val="hybridMultilevel"/>
    <w:tmpl w:val="27FE8B2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25A90500"/>
    <w:multiLevelType w:val="hybridMultilevel"/>
    <w:tmpl w:val="FDFAE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C82CDC"/>
    <w:multiLevelType w:val="hybridMultilevel"/>
    <w:tmpl w:val="57D866A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nsid w:val="796E474A"/>
    <w:multiLevelType w:val="hybridMultilevel"/>
    <w:tmpl w:val="57362CF0"/>
    <w:lvl w:ilvl="0" w:tplc="00D66FAC">
      <w:start w:val="1"/>
      <w:numFmt w:val="bullet"/>
      <w:lvlText w:val=""/>
      <w:lvlJc w:val="left"/>
      <w:pPr>
        <w:tabs>
          <w:tab w:val="num" w:pos="360"/>
        </w:tabs>
        <w:ind w:left="360" w:hanging="360"/>
      </w:pPr>
      <w:rPr>
        <w:rFonts w:ascii="Symbol" w:hAnsi="Symbol" w:hint="default"/>
        <w:b/>
        <w:i w:val="0"/>
        <w:color w:val="auto"/>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762DF"/>
    <w:rsid w:val="000016CB"/>
    <w:rsid w:val="00002C68"/>
    <w:rsid w:val="00003FC2"/>
    <w:rsid w:val="00013532"/>
    <w:rsid w:val="0003056C"/>
    <w:rsid w:val="00035643"/>
    <w:rsid w:val="0004360C"/>
    <w:rsid w:val="00044579"/>
    <w:rsid w:val="00046BA7"/>
    <w:rsid w:val="00051181"/>
    <w:rsid w:val="000634D5"/>
    <w:rsid w:val="00077D4F"/>
    <w:rsid w:val="00080DD6"/>
    <w:rsid w:val="00092F48"/>
    <w:rsid w:val="00096493"/>
    <w:rsid w:val="000B3B4B"/>
    <w:rsid w:val="000B5BAF"/>
    <w:rsid w:val="000B5F7B"/>
    <w:rsid w:val="000C54B2"/>
    <w:rsid w:val="000D0634"/>
    <w:rsid w:val="000F23C3"/>
    <w:rsid w:val="000F2F46"/>
    <w:rsid w:val="0010056A"/>
    <w:rsid w:val="001135F1"/>
    <w:rsid w:val="00116C7B"/>
    <w:rsid w:val="00126235"/>
    <w:rsid w:val="00126D00"/>
    <w:rsid w:val="00126FDF"/>
    <w:rsid w:val="00131587"/>
    <w:rsid w:val="00133EAA"/>
    <w:rsid w:val="001341B7"/>
    <w:rsid w:val="00152B6A"/>
    <w:rsid w:val="00152F90"/>
    <w:rsid w:val="00152FF3"/>
    <w:rsid w:val="001853D4"/>
    <w:rsid w:val="00186DF8"/>
    <w:rsid w:val="001B1334"/>
    <w:rsid w:val="001B2922"/>
    <w:rsid w:val="001B2AFB"/>
    <w:rsid w:val="001C511F"/>
    <w:rsid w:val="001C7289"/>
    <w:rsid w:val="001D3194"/>
    <w:rsid w:val="001D3FDD"/>
    <w:rsid w:val="001E067A"/>
    <w:rsid w:val="00211C31"/>
    <w:rsid w:val="00220E65"/>
    <w:rsid w:val="0023153C"/>
    <w:rsid w:val="0024056E"/>
    <w:rsid w:val="0024472F"/>
    <w:rsid w:val="002541AB"/>
    <w:rsid w:val="00255D4E"/>
    <w:rsid w:val="0025792D"/>
    <w:rsid w:val="00263317"/>
    <w:rsid w:val="00263C83"/>
    <w:rsid w:val="00267ECD"/>
    <w:rsid w:val="00270A77"/>
    <w:rsid w:val="00274B49"/>
    <w:rsid w:val="00276F6E"/>
    <w:rsid w:val="002772AF"/>
    <w:rsid w:val="00280D1C"/>
    <w:rsid w:val="002A2E35"/>
    <w:rsid w:val="002A6113"/>
    <w:rsid w:val="002B4763"/>
    <w:rsid w:val="002C51A2"/>
    <w:rsid w:val="002D21C9"/>
    <w:rsid w:val="002D4BF8"/>
    <w:rsid w:val="002E73AF"/>
    <w:rsid w:val="00300820"/>
    <w:rsid w:val="00302525"/>
    <w:rsid w:val="00302566"/>
    <w:rsid w:val="00304098"/>
    <w:rsid w:val="00305AF3"/>
    <w:rsid w:val="0032563F"/>
    <w:rsid w:val="0032775A"/>
    <w:rsid w:val="00347880"/>
    <w:rsid w:val="00352BC1"/>
    <w:rsid w:val="003541A7"/>
    <w:rsid w:val="0036089B"/>
    <w:rsid w:val="003664BF"/>
    <w:rsid w:val="00375F00"/>
    <w:rsid w:val="00376529"/>
    <w:rsid w:val="00383CC7"/>
    <w:rsid w:val="00384669"/>
    <w:rsid w:val="0038685D"/>
    <w:rsid w:val="00390834"/>
    <w:rsid w:val="00394BAA"/>
    <w:rsid w:val="003A7E00"/>
    <w:rsid w:val="003B00F5"/>
    <w:rsid w:val="003B36F9"/>
    <w:rsid w:val="003B678B"/>
    <w:rsid w:val="003B6C9C"/>
    <w:rsid w:val="003D697F"/>
    <w:rsid w:val="003E6544"/>
    <w:rsid w:val="003F77DD"/>
    <w:rsid w:val="00400471"/>
    <w:rsid w:val="0040298C"/>
    <w:rsid w:val="00407843"/>
    <w:rsid w:val="00416A5A"/>
    <w:rsid w:val="0043797D"/>
    <w:rsid w:val="0044172A"/>
    <w:rsid w:val="00441892"/>
    <w:rsid w:val="00446808"/>
    <w:rsid w:val="004468E5"/>
    <w:rsid w:val="0044798F"/>
    <w:rsid w:val="00452FD6"/>
    <w:rsid w:val="0045583A"/>
    <w:rsid w:val="00464C72"/>
    <w:rsid w:val="00465E1A"/>
    <w:rsid w:val="00467796"/>
    <w:rsid w:val="004704F8"/>
    <w:rsid w:val="00474732"/>
    <w:rsid w:val="00480A0B"/>
    <w:rsid w:val="00484236"/>
    <w:rsid w:val="004851B8"/>
    <w:rsid w:val="00485CE2"/>
    <w:rsid w:val="004A1803"/>
    <w:rsid w:val="004B0696"/>
    <w:rsid w:val="004B4FE6"/>
    <w:rsid w:val="004C3F8E"/>
    <w:rsid w:val="004E15E6"/>
    <w:rsid w:val="004E1AB0"/>
    <w:rsid w:val="004F52B2"/>
    <w:rsid w:val="00514978"/>
    <w:rsid w:val="005231CA"/>
    <w:rsid w:val="00526A4E"/>
    <w:rsid w:val="005276A4"/>
    <w:rsid w:val="00537566"/>
    <w:rsid w:val="005407A6"/>
    <w:rsid w:val="00540811"/>
    <w:rsid w:val="005469D2"/>
    <w:rsid w:val="005517B1"/>
    <w:rsid w:val="005554AF"/>
    <w:rsid w:val="00557583"/>
    <w:rsid w:val="0056122E"/>
    <w:rsid w:val="00583154"/>
    <w:rsid w:val="00584A1D"/>
    <w:rsid w:val="005A061E"/>
    <w:rsid w:val="005B45B2"/>
    <w:rsid w:val="005B6D6D"/>
    <w:rsid w:val="005C13CB"/>
    <w:rsid w:val="005C3116"/>
    <w:rsid w:val="005C3CF1"/>
    <w:rsid w:val="005D3742"/>
    <w:rsid w:val="005D6B80"/>
    <w:rsid w:val="005E0858"/>
    <w:rsid w:val="005E6B1F"/>
    <w:rsid w:val="0060164F"/>
    <w:rsid w:val="00613559"/>
    <w:rsid w:val="00620E78"/>
    <w:rsid w:val="00625A10"/>
    <w:rsid w:val="0063456A"/>
    <w:rsid w:val="00636882"/>
    <w:rsid w:val="00650292"/>
    <w:rsid w:val="00656BBD"/>
    <w:rsid w:val="006643E1"/>
    <w:rsid w:val="006653FA"/>
    <w:rsid w:val="0066783C"/>
    <w:rsid w:val="006762DF"/>
    <w:rsid w:val="00677903"/>
    <w:rsid w:val="00685353"/>
    <w:rsid w:val="006923A2"/>
    <w:rsid w:val="006926DE"/>
    <w:rsid w:val="006A0FC1"/>
    <w:rsid w:val="006B13F6"/>
    <w:rsid w:val="006B7371"/>
    <w:rsid w:val="006C637E"/>
    <w:rsid w:val="006D1CE0"/>
    <w:rsid w:val="006E10F9"/>
    <w:rsid w:val="006E3689"/>
    <w:rsid w:val="006E3757"/>
    <w:rsid w:val="006E420B"/>
    <w:rsid w:val="006F17BD"/>
    <w:rsid w:val="006F2BDA"/>
    <w:rsid w:val="00701ECC"/>
    <w:rsid w:val="007023FD"/>
    <w:rsid w:val="007109FB"/>
    <w:rsid w:val="00716243"/>
    <w:rsid w:val="00716E16"/>
    <w:rsid w:val="007234D9"/>
    <w:rsid w:val="00726C82"/>
    <w:rsid w:val="00732C12"/>
    <w:rsid w:val="00736A5B"/>
    <w:rsid w:val="00747E0F"/>
    <w:rsid w:val="007501CF"/>
    <w:rsid w:val="007529B5"/>
    <w:rsid w:val="007622C6"/>
    <w:rsid w:val="007626FD"/>
    <w:rsid w:val="00763E51"/>
    <w:rsid w:val="00770DEC"/>
    <w:rsid w:val="0078054D"/>
    <w:rsid w:val="00790E75"/>
    <w:rsid w:val="0079507B"/>
    <w:rsid w:val="00797ACC"/>
    <w:rsid w:val="007C0BA9"/>
    <w:rsid w:val="007C17E7"/>
    <w:rsid w:val="007C6ADA"/>
    <w:rsid w:val="007D3A3F"/>
    <w:rsid w:val="007E1815"/>
    <w:rsid w:val="007E2202"/>
    <w:rsid w:val="007E4651"/>
    <w:rsid w:val="007F255E"/>
    <w:rsid w:val="007F54FB"/>
    <w:rsid w:val="007F697E"/>
    <w:rsid w:val="00800A5F"/>
    <w:rsid w:val="00800AD7"/>
    <w:rsid w:val="008035FB"/>
    <w:rsid w:val="00807F72"/>
    <w:rsid w:val="00821001"/>
    <w:rsid w:val="0082147E"/>
    <w:rsid w:val="00825532"/>
    <w:rsid w:val="00850ACC"/>
    <w:rsid w:val="00855332"/>
    <w:rsid w:val="00860938"/>
    <w:rsid w:val="008649B3"/>
    <w:rsid w:val="00867048"/>
    <w:rsid w:val="0088496C"/>
    <w:rsid w:val="00884DFF"/>
    <w:rsid w:val="008905D6"/>
    <w:rsid w:val="008A4663"/>
    <w:rsid w:val="008A5DB4"/>
    <w:rsid w:val="008A70BA"/>
    <w:rsid w:val="008B0EC1"/>
    <w:rsid w:val="008B1E6A"/>
    <w:rsid w:val="008B49FD"/>
    <w:rsid w:val="008B4DB1"/>
    <w:rsid w:val="008B5FAF"/>
    <w:rsid w:val="008C35C7"/>
    <w:rsid w:val="008D586E"/>
    <w:rsid w:val="008D654F"/>
    <w:rsid w:val="008D7AC9"/>
    <w:rsid w:val="008E099F"/>
    <w:rsid w:val="008E5080"/>
    <w:rsid w:val="008E6AF1"/>
    <w:rsid w:val="008E7BDA"/>
    <w:rsid w:val="008F454E"/>
    <w:rsid w:val="009019FD"/>
    <w:rsid w:val="0090267F"/>
    <w:rsid w:val="009070FD"/>
    <w:rsid w:val="00934E49"/>
    <w:rsid w:val="009458F2"/>
    <w:rsid w:val="00946A51"/>
    <w:rsid w:val="0094798B"/>
    <w:rsid w:val="00956902"/>
    <w:rsid w:val="009673B9"/>
    <w:rsid w:val="00976044"/>
    <w:rsid w:val="00984CA1"/>
    <w:rsid w:val="00991CC4"/>
    <w:rsid w:val="00996403"/>
    <w:rsid w:val="009A57F1"/>
    <w:rsid w:val="009B0136"/>
    <w:rsid w:val="009B0765"/>
    <w:rsid w:val="009B3BD6"/>
    <w:rsid w:val="009B6600"/>
    <w:rsid w:val="009B6C81"/>
    <w:rsid w:val="009B7C38"/>
    <w:rsid w:val="009C2910"/>
    <w:rsid w:val="009D3A98"/>
    <w:rsid w:val="009D6F54"/>
    <w:rsid w:val="009D7D66"/>
    <w:rsid w:val="009E2490"/>
    <w:rsid w:val="009E2A2A"/>
    <w:rsid w:val="009E329A"/>
    <w:rsid w:val="009E52E7"/>
    <w:rsid w:val="009E69D9"/>
    <w:rsid w:val="00A048DF"/>
    <w:rsid w:val="00A12233"/>
    <w:rsid w:val="00A151DA"/>
    <w:rsid w:val="00A25988"/>
    <w:rsid w:val="00A42F38"/>
    <w:rsid w:val="00A47819"/>
    <w:rsid w:val="00A51006"/>
    <w:rsid w:val="00A53D4A"/>
    <w:rsid w:val="00A664AB"/>
    <w:rsid w:val="00A77E93"/>
    <w:rsid w:val="00A838D6"/>
    <w:rsid w:val="00A83B4A"/>
    <w:rsid w:val="00A86403"/>
    <w:rsid w:val="00A95AB3"/>
    <w:rsid w:val="00A97B65"/>
    <w:rsid w:val="00AB0708"/>
    <w:rsid w:val="00AD2FDA"/>
    <w:rsid w:val="00AD5142"/>
    <w:rsid w:val="00AE2E7F"/>
    <w:rsid w:val="00AE3960"/>
    <w:rsid w:val="00AE4F56"/>
    <w:rsid w:val="00AE6258"/>
    <w:rsid w:val="00AE6362"/>
    <w:rsid w:val="00AE723F"/>
    <w:rsid w:val="00AF23A5"/>
    <w:rsid w:val="00B004CE"/>
    <w:rsid w:val="00B06ECE"/>
    <w:rsid w:val="00B1696E"/>
    <w:rsid w:val="00B21317"/>
    <w:rsid w:val="00B22247"/>
    <w:rsid w:val="00B469A1"/>
    <w:rsid w:val="00B54570"/>
    <w:rsid w:val="00B55E1D"/>
    <w:rsid w:val="00B65C14"/>
    <w:rsid w:val="00B72960"/>
    <w:rsid w:val="00B7761B"/>
    <w:rsid w:val="00B872DA"/>
    <w:rsid w:val="00B9398A"/>
    <w:rsid w:val="00BA3EF0"/>
    <w:rsid w:val="00BA653C"/>
    <w:rsid w:val="00BB1145"/>
    <w:rsid w:val="00BB7984"/>
    <w:rsid w:val="00BC6383"/>
    <w:rsid w:val="00BD754D"/>
    <w:rsid w:val="00BE5E72"/>
    <w:rsid w:val="00BE62A6"/>
    <w:rsid w:val="00BF5A8E"/>
    <w:rsid w:val="00BF5B4B"/>
    <w:rsid w:val="00C0329D"/>
    <w:rsid w:val="00C16AD7"/>
    <w:rsid w:val="00C25501"/>
    <w:rsid w:val="00C25A78"/>
    <w:rsid w:val="00C27ED9"/>
    <w:rsid w:val="00C3149C"/>
    <w:rsid w:val="00C32297"/>
    <w:rsid w:val="00C35276"/>
    <w:rsid w:val="00C359B1"/>
    <w:rsid w:val="00C42BE8"/>
    <w:rsid w:val="00C43F99"/>
    <w:rsid w:val="00C54432"/>
    <w:rsid w:val="00C731EE"/>
    <w:rsid w:val="00C760BC"/>
    <w:rsid w:val="00C81070"/>
    <w:rsid w:val="00C87CFE"/>
    <w:rsid w:val="00CA0094"/>
    <w:rsid w:val="00CA198E"/>
    <w:rsid w:val="00CA39C4"/>
    <w:rsid w:val="00CA6000"/>
    <w:rsid w:val="00CA6B85"/>
    <w:rsid w:val="00CB6C2B"/>
    <w:rsid w:val="00CC0161"/>
    <w:rsid w:val="00CC04F7"/>
    <w:rsid w:val="00CC624F"/>
    <w:rsid w:val="00CC6285"/>
    <w:rsid w:val="00CD036F"/>
    <w:rsid w:val="00CD03AB"/>
    <w:rsid w:val="00CD10D6"/>
    <w:rsid w:val="00CD3EF8"/>
    <w:rsid w:val="00CE04BB"/>
    <w:rsid w:val="00CE197D"/>
    <w:rsid w:val="00CE20A0"/>
    <w:rsid w:val="00CF022E"/>
    <w:rsid w:val="00CF0324"/>
    <w:rsid w:val="00CF3C87"/>
    <w:rsid w:val="00CF5F2F"/>
    <w:rsid w:val="00CF7EE0"/>
    <w:rsid w:val="00D029AE"/>
    <w:rsid w:val="00D042D3"/>
    <w:rsid w:val="00D113BE"/>
    <w:rsid w:val="00D159E0"/>
    <w:rsid w:val="00D21DF5"/>
    <w:rsid w:val="00D24D99"/>
    <w:rsid w:val="00D26288"/>
    <w:rsid w:val="00D54B1A"/>
    <w:rsid w:val="00D54CF8"/>
    <w:rsid w:val="00D610D6"/>
    <w:rsid w:val="00D62382"/>
    <w:rsid w:val="00D6321B"/>
    <w:rsid w:val="00D665A8"/>
    <w:rsid w:val="00D7244D"/>
    <w:rsid w:val="00D72451"/>
    <w:rsid w:val="00D73C63"/>
    <w:rsid w:val="00D76DBA"/>
    <w:rsid w:val="00D777AE"/>
    <w:rsid w:val="00D81996"/>
    <w:rsid w:val="00D85B20"/>
    <w:rsid w:val="00DA5483"/>
    <w:rsid w:val="00DA58E5"/>
    <w:rsid w:val="00DB2B45"/>
    <w:rsid w:val="00DB2D2A"/>
    <w:rsid w:val="00DC0645"/>
    <w:rsid w:val="00DD63D1"/>
    <w:rsid w:val="00DE167B"/>
    <w:rsid w:val="00DE6035"/>
    <w:rsid w:val="00DF7B64"/>
    <w:rsid w:val="00E06D43"/>
    <w:rsid w:val="00E105BA"/>
    <w:rsid w:val="00E173D6"/>
    <w:rsid w:val="00E20470"/>
    <w:rsid w:val="00E2120A"/>
    <w:rsid w:val="00E44E5C"/>
    <w:rsid w:val="00E50FE9"/>
    <w:rsid w:val="00E518DB"/>
    <w:rsid w:val="00E53965"/>
    <w:rsid w:val="00E57ACC"/>
    <w:rsid w:val="00E658C6"/>
    <w:rsid w:val="00E67D14"/>
    <w:rsid w:val="00E87874"/>
    <w:rsid w:val="00E95F33"/>
    <w:rsid w:val="00EA1D54"/>
    <w:rsid w:val="00EA2416"/>
    <w:rsid w:val="00EA435E"/>
    <w:rsid w:val="00EA48A3"/>
    <w:rsid w:val="00EB27FC"/>
    <w:rsid w:val="00EB3074"/>
    <w:rsid w:val="00EC2693"/>
    <w:rsid w:val="00EC69C6"/>
    <w:rsid w:val="00EE7B05"/>
    <w:rsid w:val="00EF2522"/>
    <w:rsid w:val="00EF6CB1"/>
    <w:rsid w:val="00F0203B"/>
    <w:rsid w:val="00F05FED"/>
    <w:rsid w:val="00F12FEF"/>
    <w:rsid w:val="00F1784C"/>
    <w:rsid w:val="00F222E4"/>
    <w:rsid w:val="00F26269"/>
    <w:rsid w:val="00F32B1C"/>
    <w:rsid w:val="00F41F56"/>
    <w:rsid w:val="00F44923"/>
    <w:rsid w:val="00F533D7"/>
    <w:rsid w:val="00F57886"/>
    <w:rsid w:val="00F60EA0"/>
    <w:rsid w:val="00F8361B"/>
    <w:rsid w:val="00FB1AE9"/>
    <w:rsid w:val="00FB4075"/>
    <w:rsid w:val="00FB448C"/>
    <w:rsid w:val="00FC17CD"/>
    <w:rsid w:val="00FC7E48"/>
    <w:rsid w:val="00FD7CE9"/>
    <w:rsid w:val="00FE5E7F"/>
    <w:rsid w:val="00FF22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6CB"/>
    <w:pPr>
      <w:spacing w:line="300" w:lineRule="exact"/>
    </w:pPr>
    <w:rPr>
      <w:sz w:val="24"/>
      <w:szCs w:val="24"/>
    </w:rPr>
  </w:style>
  <w:style w:type="paragraph" w:styleId="Heading1">
    <w:name w:val="heading 1"/>
    <w:basedOn w:val="Normal"/>
    <w:next w:val="Normal"/>
    <w:link w:val="Heading1Char"/>
    <w:uiPriority w:val="99"/>
    <w:qFormat/>
    <w:rsid w:val="00CF022E"/>
    <w:pPr>
      <w:keepNext/>
      <w:spacing w:before="240" w:after="120" w:line="240" w:lineRule="auto"/>
      <w:outlineLvl w:val="0"/>
    </w:pPr>
    <w:rPr>
      <w:rFonts w:ascii="Verdana" w:hAnsi="Verdana" w:cs="Arial"/>
      <w:b/>
      <w:bCs/>
      <w:kern w:val="32"/>
      <w:sz w:val="22"/>
      <w:szCs w:val="32"/>
    </w:rPr>
  </w:style>
  <w:style w:type="paragraph" w:styleId="Heading2">
    <w:name w:val="heading 2"/>
    <w:basedOn w:val="Normal"/>
    <w:next w:val="Normal"/>
    <w:link w:val="Heading2Char"/>
    <w:uiPriority w:val="99"/>
    <w:qFormat/>
    <w:rsid w:val="00CF022E"/>
    <w:pPr>
      <w:keepNext/>
      <w:spacing w:before="240" w:after="120" w:line="240" w:lineRule="auto"/>
      <w:outlineLvl w:val="1"/>
    </w:pPr>
    <w:rPr>
      <w:rFonts w:ascii="Verdana" w:hAnsi="Verdana" w:cs="Arial"/>
      <w:b/>
      <w:bCs/>
      <w:iCs/>
      <w:sz w:val="20"/>
      <w:szCs w:val="28"/>
    </w:rPr>
  </w:style>
  <w:style w:type="paragraph" w:styleId="Heading3">
    <w:name w:val="heading 3"/>
    <w:basedOn w:val="Normal"/>
    <w:next w:val="Normal"/>
    <w:link w:val="Heading3Char"/>
    <w:uiPriority w:val="99"/>
    <w:qFormat/>
    <w:rsid w:val="00CF022E"/>
    <w:pPr>
      <w:keepNext/>
      <w:spacing w:before="240" w:after="75"/>
      <w:outlineLvl w:val="2"/>
    </w:pPr>
    <w:rPr>
      <w:rFonts w:ascii="Verdana" w:hAnsi="Verdana" w:cs="Arial"/>
      <w:b/>
      <w:bCs/>
      <w:sz w:val="18"/>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626F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626F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626FD"/>
    <w:rPr>
      <w:rFonts w:ascii="Cambria" w:hAnsi="Cambria" w:cs="Times New Roman"/>
      <w:b/>
      <w:bCs/>
      <w:sz w:val="26"/>
      <w:szCs w:val="26"/>
    </w:rPr>
  </w:style>
  <w:style w:type="paragraph" w:styleId="BalloonText">
    <w:name w:val="Balloon Text"/>
    <w:basedOn w:val="Normal"/>
    <w:link w:val="BalloonTextChar"/>
    <w:uiPriority w:val="99"/>
    <w:semiHidden/>
    <w:rsid w:val="0044798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6ECE"/>
    <w:rPr>
      <w:rFonts w:cs="Times New Roman"/>
      <w:sz w:val="2"/>
    </w:rPr>
  </w:style>
  <w:style w:type="table" w:styleId="TableGrid">
    <w:name w:val="Table Grid"/>
    <w:basedOn w:val="TableNormal"/>
    <w:uiPriority w:val="99"/>
    <w:rsid w:val="006762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basedOn w:val="Normal"/>
    <w:link w:val="TextChar"/>
    <w:uiPriority w:val="99"/>
    <w:rsid w:val="00E44E5C"/>
    <w:pPr>
      <w:spacing w:line="280" w:lineRule="exact"/>
    </w:pPr>
    <w:rPr>
      <w:sz w:val="22"/>
    </w:rPr>
  </w:style>
  <w:style w:type="character" w:customStyle="1" w:styleId="TextChar">
    <w:name w:val="Text Char"/>
    <w:basedOn w:val="DefaultParagraphFont"/>
    <w:link w:val="Text"/>
    <w:uiPriority w:val="99"/>
    <w:locked/>
    <w:rsid w:val="00E44E5C"/>
    <w:rPr>
      <w:rFonts w:cs="Times New Roman"/>
      <w:sz w:val="24"/>
      <w:szCs w:val="24"/>
      <w:lang w:val="en-US" w:eastAsia="en-US" w:bidi="ar-SA"/>
    </w:rPr>
  </w:style>
  <w:style w:type="paragraph" w:styleId="Header">
    <w:name w:val="header"/>
    <w:basedOn w:val="Normal"/>
    <w:link w:val="HeaderChar"/>
    <w:uiPriority w:val="99"/>
    <w:rsid w:val="00280D1C"/>
    <w:pPr>
      <w:tabs>
        <w:tab w:val="center" w:pos="4320"/>
        <w:tab w:val="right" w:pos="8640"/>
      </w:tabs>
    </w:pPr>
  </w:style>
  <w:style w:type="character" w:customStyle="1" w:styleId="HeaderChar">
    <w:name w:val="Header Char"/>
    <w:basedOn w:val="DefaultParagraphFont"/>
    <w:link w:val="Header"/>
    <w:uiPriority w:val="99"/>
    <w:semiHidden/>
    <w:locked/>
    <w:rsid w:val="007626FD"/>
    <w:rPr>
      <w:rFonts w:cs="Times New Roman"/>
      <w:sz w:val="24"/>
      <w:szCs w:val="24"/>
    </w:rPr>
  </w:style>
  <w:style w:type="paragraph" w:styleId="Footer">
    <w:name w:val="footer"/>
    <w:basedOn w:val="Normal"/>
    <w:link w:val="FooterChar"/>
    <w:uiPriority w:val="99"/>
    <w:rsid w:val="00280D1C"/>
    <w:pPr>
      <w:tabs>
        <w:tab w:val="center" w:pos="4320"/>
        <w:tab w:val="right" w:pos="8640"/>
      </w:tabs>
    </w:pPr>
  </w:style>
  <w:style w:type="character" w:customStyle="1" w:styleId="FooterChar">
    <w:name w:val="Footer Char"/>
    <w:basedOn w:val="DefaultParagraphFont"/>
    <w:link w:val="Footer"/>
    <w:uiPriority w:val="99"/>
    <w:semiHidden/>
    <w:locked/>
    <w:rsid w:val="007626FD"/>
    <w:rPr>
      <w:rFonts w:cs="Times New Roman"/>
      <w:sz w:val="24"/>
      <w:szCs w:val="24"/>
    </w:rPr>
  </w:style>
  <w:style w:type="character" w:styleId="PageNumber">
    <w:name w:val="page number"/>
    <w:basedOn w:val="DefaultParagraphFont"/>
    <w:uiPriority w:val="99"/>
    <w:rsid w:val="00280D1C"/>
    <w:rPr>
      <w:rFonts w:cs="Times New Roman"/>
    </w:rPr>
  </w:style>
  <w:style w:type="paragraph" w:customStyle="1" w:styleId="StyleHeading2Centered">
    <w:name w:val="Style Heading 2 + Centered"/>
    <w:basedOn w:val="Heading2"/>
    <w:uiPriority w:val="99"/>
    <w:rsid w:val="00650292"/>
    <w:pPr>
      <w:jc w:val="center"/>
    </w:pPr>
    <w:rPr>
      <w:rFonts w:cs="Times New Roman"/>
      <w:iCs w:val="0"/>
      <w:szCs w:val="20"/>
    </w:rPr>
  </w:style>
  <w:style w:type="paragraph" w:styleId="NormalWeb">
    <w:name w:val="Normal (Web)"/>
    <w:basedOn w:val="Normal"/>
    <w:uiPriority w:val="99"/>
    <w:rsid w:val="00AE3960"/>
    <w:pPr>
      <w:spacing w:before="100" w:beforeAutospacing="1" w:after="100" w:afterAutospacing="1" w:line="240" w:lineRule="auto"/>
    </w:pPr>
    <w:rPr>
      <w:rFonts w:ascii="Arial" w:hAnsi="Arial" w:cs="Arial"/>
    </w:rPr>
  </w:style>
  <w:style w:type="character" w:styleId="Hyperlink">
    <w:name w:val="Hyperlink"/>
    <w:basedOn w:val="DefaultParagraphFont"/>
    <w:uiPriority w:val="99"/>
    <w:rsid w:val="006643E1"/>
    <w:rPr>
      <w:rFonts w:cs="Times New Roman"/>
      <w:color w:val="0000FF"/>
      <w:u w:val="single"/>
    </w:rPr>
  </w:style>
  <w:style w:type="paragraph" w:styleId="FootnoteText">
    <w:name w:val="footnote text"/>
    <w:basedOn w:val="Normal"/>
    <w:link w:val="FootnoteTextChar"/>
    <w:uiPriority w:val="99"/>
    <w:semiHidden/>
    <w:rsid w:val="008D7AC9"/>
    <w:rPr>
      <w:sz w:val="20"/>
      <w:szCs w:val="20"/>
    </w:rPr>
  </w:style>
  <w:style w:type="character" w:customStyle="1" w:styleId="FootnoteTextChar">
    <w:name w:val="Footnote Text Char"/>
    <w:basedOn w:val="DefaultParagraphFont"/>
    <w:link w:val="FootnoteText"/>
    <w:uiPriority w:val="99"/>
    <w:semiHidden/>
    <w:locked/>
    <w:rsid w:val="007626FD"/>
    <w:rPr>
      <w:rFonts w:cs="Times New Roman"/>
      <w:sz w:val="20"/>
      <w:szCs w:val="20"/>
    </w:rPr>
  </w:style>
  <w:style w:type="character" w:styleId="FootnoteReference">
    <w:name w:val="footnote reference"/>
    <w:basedOn w:val="DefaultParagraphFont"/>
    <w:uiPriority w:val="99"/>
    <w:semiHidden/>
    <w:rsid w:val="008D7AC9"/>
    <w:rPr>
      <w:rFonts w:cs="Times New Roman"/>
      <w:vertAlign w:val="superscript"/>
    </w:rPr>
  </w:style>
  <w:style w:type="paragraph" w:customStyle="1" w:styleId="Default">
    <w:name w:val="Default"/>
    <w:uiPriority w:val="99"/>
    <w:rsid w:val="00C760BC"/>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uiPriority w:val="99"/>
    <w:semiHidden/>
    <w:rsid w:val="0038685D"/>
    <w:rPr>
      <w:rFonts w:cs="Times New Roman"/>
      <w:sz w:val="16"/>
      <w:szCs w:val="16"/>
    </w:rPr>
  </w:style>
  <w:style w:type="paragraph" w:styleId="CommentText">
    <w:name w:val="annotation text"/>
    <w:basedOn w:val="Normal"/>
    <w:link w:val="CommentTextChar"/>
    <w:uiPriority w:val="99"/>
    <w:semiHidden/>
    <w:rsid w:val="0038685D"/>
    <w:rPr>
      <w:sz w:val="20"/>
      <w:szCs w:val="20"/>
    </w:rPr>
  </w:style>
  <w:style w:type="character" w:customStyle="1" w:styleId="CommentTextChar">
    <w:name w:val="Comment Text Char"/>
    <w:basedOn w:val="DefaultParagraphFont"/>
    <w:link w:val="CommentText"/>
    <w:uiPriority w:val="99"/>
    <w:semiHidden/>
    <w:locked/>
    <w:rsid w:val="00B06ECE"/>
    <w:rPr>
      <w:rFonts w:cs="Times New Roman"/>
      <w:sz w:val="20"/>
      <w:szCs w:val="20"/>
    </w:rPr>
  </w:style>
  <w:style w:type="paragraph" w:styleId="CommentSubject">
    <w:name w:val="annotation subject"/>
    <w:basedOn w:val="CommentText"/>
    <w:next w:val="CommentText"/>
    <w:link w:val="CommentSubjectChar"/>
    <w:uiPriority w:val="99"/>
    <w:semiHidden/>
    <w:rsid w:val="0038685D"/>
    <w:rPr>
      <w:b/>
      <w:bCs/>
    </w:rPr>
  </w:style>
  <w:style w:type="character" w:customStyle="1" w:styleId="CommentSubjectChar">
    <w:name w:val="Comment Subject Char"/>
    <w:basedOn w:val="CommentTextChar"/>
    <w:link w:val="CommentSubject"/>
    <w:uiPriority w:val="99"/>
    <w:semiHidden/>
    <w:locked/>
    <w:rsid w:val="00B06ECE"/>
    <w:rPr>
      <w:b/>
      <w:bCs/>
    </w:rPr>
  </w:style>
</w:styles>
</file>

<file path=word/webSettings.xml><?xml version="1.0" encoding="utf-8"?>
<w:webSettings xmlns:r="http://schemas.openxmlformats.org/officeDocument/2006/relationships" xmlns:w="http://schemas.openxmlformats.org/wordprocessingml/2006/main">
  <w:divs>
    <w:div w:id="1131051024">
      <w:marLeft w:val="0"/>
      <w:marRight w:val="0"/>
      <w:marTop w:val="0"/>
      <w:marBottom w:val="0"/>
      <w:divBdr>
        <w:top w:val="none" w:sz="0" w:space="0" w:color="auto"/>
        <w:left w:val="none" w:sz="0" w:space="0" w:color="auto"/>
        <w:bottom w:val="none" w:sz="0" w:space="0" w:color="auto"/>
        <w:right w:val="none" w:sz="0" w:space="0" w:color="auto"/>
      </w:divBdr>
      <w:divsChild>
        <w:div w:id="1131051051">
          <w:marLeft w:val="0"/>
          <w:marRight w:val="0"/>
          <w:marTop w:val="0"/>
          <w:marBottom w:val="0"/>
          <w:divBdr>
            <w:top w:val="none" w:sz="0" w:space="0" w:color="auto"/>
            <w:left w:val="none" w:sz="0" w:space="0" w:color="auto"/>
            <w:bottom w:val="none" w:sz="0" w:space="0" w:color="auto"/>
            <w:right w:val="none" w:sz="0" w:space="0" w:color="auto"/>
          </w:divBdr>
          <w:divsChild>
            <w:div w:id="1131051037">
              <w:marLeft w:val="0"/>
              <w:marRight w:val="0"/>
              <w:marTop w:val="0"/>
              <w:marBottom w:val="0"/>
              <w:divBdr>
                <w:top w:val="none" w:sz="0" w:space="0" w:color="auto"/>
                <w:left w:val="none" w:sz="0" w:space="0" w:color="auto"/>
                <w:bottom w:val="none" w:sz="0" w:space="0" w:color="auto"/>
                <w:right w:val="none" w:sz="0" w:space="0" w:color="auto"/>
              </w:divBdr>
              <w:divsChild>
                <w:div w:id="11310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51027">
      <w:marLeft w:val="0"/>
      <w:marRight w:val="0"/>
      <w:marTop w:val="0"/>
      <w:marBottom w:val="0"/>
      <w:divBdr>
        <w:top w:val="none" w:sz="0" w:space="0" w:color="auto"/>
        <w:left w:val="none" w:sz="0" w:space="0" w:color="auto"/>
        <w:bottom w:val="none" w:sz="0" w:space="0" w:color="auto"/>
        <w:right w:val="none" w:sz="0" w:space="0" w:color="auto"/>
      </w:divBdr>
      <w:divsChild>
        <w:div w:id="1131051028">
          <w:marLeft w:val="0"/>
          <w:marRight w:val="0"/>
          <w:marTop w:val="0"/>
          <w:marBottom w:val="0"/>
          <w:divBdr>
            <w:top w:val="none" w:sz="0" w:space="0" w:color="auto"/>
            <w:left w:val="single" w:sz="6" w:space="0" w:color="999999"/>
            <w:bottom w:val="none" w:sz="0" w:space="0" w:color="auto"/>
            <w:right w:val="none" w:sz="0" w:space="0" w:color="auto"/>
          </w:divBdr>
          <w:divsChild>
            <w:div w:id="1131051046">
              <w:marLeft w:val="0"/>
              <w:marRight w:val="0"/>
              <w:marTop w:val="0"/>
              <w:marBottom w:val="0"/>
              <w:divBdr>
                <w:top w:val="single" w:sz="6" w:space="0" w:color="999999"/>
                <w:left w:val="none" w:sz="0" w:space="0" w:color="auto"/>
                <w:bottom w:val="none" w:sz="0" w:space="0" w:color="auto"/>
                <w:right w:val="single" w:sz="6" w:space="0" w:color="999999"/>
              </w:divBdr>
              <w:divsChild>
                <w:div w:id="1131051033">
                  <w:marLeft w:val="0"/>
                  <w:marRight w:val="0"/>
                  <w:marTop w:val="180"/>
                  <w:marBottom w:val="0"/>
                  <w:divBdr>
                    <w:top w:val="single" w:sz="6" w:space="0" w:color="FFFFFF"/>
                    <w:left w:val="none" w:sz="0" w:space="0" w:color="auto"/>
                    <w:bottom w:val="none" w:sz="0" w:space="0" w:color="auto"/>
                    <w:right w:val="none" w:sz="0" w:space="0" w:color="auto"/>
                  </w:divBdr>
                  <w:divsChild>
                    <w:div w:id="1131051032">
                      <w:marLeft w:val="0"/>
                      <w:marRight w:val="0"/>
                      <w:marTop w:val="0"/>
                      <w:marBottom w:val="0"/>
                      <w:divBdr>
                        <w:top w:val="none" w:sz="0" w:space="0" w:color="auto"/>
                        <w:left w:val="none" w:sz="0" w:space="0" w:color="auto"/>
                        <w:bottom w:val="none" w:sz="0" w:space="0" w:color="auto"/>
                        <w:right w:val="none" w:sz="0" w:space="0" w:color="auto"/>
                      </w:divBdr>
                      <w:divsChild>
                        <w:div w:id="1131051049">
                          <w:marLeft w:val="0"/>
                          <w:marRight w:val="0"/>
                          <w:marTop w:val="0"/>
                          <w:marBottom w:val="0"/>
                          <w:divBdr>
                            <w:top w:val="none" w:sz="0" w:space="0" w:color="auto"/>
                            <w:left w:val="none" w:sz="0" w:space="0" w:color="auto"/>
                            <w:bottom w:val="none" w:sz="0" w:space="0" w:color="auto"/>
                            <w:right w:val="none" w:sz="0" w:space="0" w:color="auto"/>
                          </w:divBdr>
                          <w:divsChild>
                            <w:div w:id="1131051029">
                              <w:marLeft w:val="0"/>
                              <w:marRight w:val="0"/>
                              <w:marTop w:val="0"/>
                              <w:marBottom w:val="120"/>
                              <w:divBdr>
                                <w:top w:val="none" w:sz="0" w:space="0" w:color="auto"/>
                                <w:left w:val="none" w:sz="0" w:space="0" w:color="auto"/>
                                <w:bottom w:val="none" w:sz="0" w:space="0" w:color="auto"/>
                                <w:right w:val="none" w:sz="0" w:space="0" w:color="auto"/>
                              </w:divBdr>
                              <w:divsChild>
                                <w:div w:id="113105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051030">
      <w:marLeft w:val="0"/>
      <w:marRight w:val="0"/>
      <w:marTop w:val="0"/>
      <w:marBottom w:val="0"/>
      <w:divBdr>
        <w:top w:val="none" w:sz="0" w:space="0" w:color="auto"/>
        <w:left w:val="none" w:sz="0" w:space="0" w:color="auto"/>
        <w:bottom w:val="none" w:sz="0" w:space="0" w:color="auto"/>
        <w:right w:val="none" w:sz="0" w:space="0" w:color="auto"/>
      </w:divBdr>
      <w:divsChild>
        <w:div w:id="1131051048">
          <w:marLeft w:val="0"/>
          <w:marRight w:val="0"/>
          <w:marTop w:val="0"/>
          <w:marBottom w:val="0"/>
          <w:divBdr>
            <w:top w:val="none" w:sz="0" w:space="0" w:color="auto"/>
            <w:left w:val="none" w:sz="0" w:space="0" w:color="auto"/>
            <w:bottom w:val="none" w:sz="0" w:space="0" w:color="auto"/>
            <w:right w:val="none" w:sz="0" w:space="0" w:color="auto"/>
          </w:divBdr>
          <w:divsChild>
            <w:div w:id="1131051025">
              <w:marLeft w:val="0"/>
              <w:marRight w:val="0"/>
              <w:marTop w:val="0"/>
              <w:marBottom w:val="0"/>
              <w:divBdr>
                <w:top w:val="none" w:sz="0" w:space="0" w:color="auto"/>
                <w:left w:val="none" w:sz="0" w:space="0" w:color="auto"/>
                <w:bottom w:val="none" w:sz="0" w:space="0" w:color="auto"/>
                <w:right w:val="none" w:sz="0" w:space="0" w:color="auto"/>
              </w:divBdr>
              <w:divsChild>
                <w:div w:id="113105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051035">
      <w:marLeft w:val="75"/>
      <w:marRight w:val="75"/>
      <w:marTop w:val="75"/>
      <w:marBottom w:val="75"/>
      <w:divBdr>
        <w:top w:val="none" w:sz="0" w:space="0" w:color="auto"/>
        <w:left w:val="none" w:sz="0" w:space="0" w:color="auto"/>
        <w:bottom w:val="none" w:sz="0" w:space="0" w:color="auto"/>
        <w:right w:val="none" w:sz="0" w:space="0" w:color="auto"/>
      </w:divBdr>
      <w:divsChild>
        <w:div w:id="1131051039">
          <w:marLeft w:val="0"/>
          <w:marRight w:val="0"/>
          <w:marTop w:val="0"/>
          <w:marBottom w:val="0"/>
          <w:divBdr>
            <w:top w:val="single" w:sz="6" w:space="0" w:color="000000"/>
            <w:left w:val="single" w:sz="6" w:space="0" w:color="000000"/>
            <w:bottom w:val="single" w:sz="6" w:space="0" w:color="000000"/>
            <w:right w:val="single" w:sz="6" w:space="0" w:color="000000"/>
          </w:divBdr>
          <w:divsChild>
            <w:div w:id="1131051045">
              <w:marLeft w:val="0"/>
              <w:marRight w:val="0"/>
              <w:marTop w:val="0"/>
              <w:marBottom w:val="0"/>
              <w:divBdr>
                <w:top w:val="none" w:sz="0" w:space="0" w:color="auto"/>
                <w:left w:val="none" w:sz="0" w:space="0" w:color="auto"/>
                <w:bottom w:val="single" w:sz="6" w:space="0" w:color="FFFFFF"/>
                <w:right w:val="none" w:sz="0" w:space="0" w:color="auto"/>
              </w:divBdr>
              <w:divsChild>
                <w:div w:id="1131051040">
                  <w:marLeft w:val="0"/>
                  <w:marRight w:val="0"/>
                  <w:marTop w:val="0"/>
                  <w:marBottom w:val="0"/>
                  <w:divBdr>
                    <w:top w:val="none" w:sz="0" w:space="0" w:color="auto"/>
                    <w:left w:val="none" w:sz="0" w:space="0" w:color="auto"/>
                    <w:bottom w:val="none" w:sz="0" w:space="0" w:color="auto"/>
                    <w:right w:val="none" w:sz="0" w:space="0" w:color="auto"/>
                  </w:divBdr>
                  <w:divsChild>
                    <w:div w:id="1131051050">
                      <w:marLeft w:val="0"/>
                      <w:marRight w:val="0"/>
                      <w:marTop w:val="0"/>
                      <w:marBottom w:val="0"/>
                      <w:divBdr>
                        <w:top w:val="none" w:sz="0" w:space="0" w:color="auto"/>
                        <w:left w:val="none" w:sz="0" w:space="0" w:color="auto"/>
                        <w:bottom w:val="none" w:sz="0" w:space="0" w:color="auto"/>
                        <w:right w:val="none" w:sz="0" w:space="0" w:color="auto"/>
                      </w:divBdr>
                      <w:divsChild>
                        <w:div w:id="1131051041">
                          <w:marLeft w:val="0"/>
                          <w:marRight w:val="0"/>
                          <w:marTop w:val="0"/>
                          <w:marBottom w:val="0"/>
                          <w:divBdr>
                            <w:top w:val="none" w:sz="0" w:space="0" w:color="auto"/>
                            <w:left w:val="none" w:sz="0" w:space="0" w:color="auto"/>
                            <w:bottom w:val="none" w:sz="0" w:space="0" w:color="auto"/>
                            <w:right w:val="none" w:sz="0" w:space="0" w:color="auto"/>
                          </w:divBdr>
                          <w:divsChild>
                            <w:div w:id="1131051034">
                              <w:marLeft w:val="0"/>
                              <w:marRight w:val="0"/>
                              <w:marTop w:val="0"/>
                              <w:marBottom w:val="0"/>
                              <w:divBdr>
                                <w:top w:val="none" w:sz="0" w:space="0" w:color="auto"/>
                                <w:left w:val="none" w:sz="0" w:space="0" w:color="auto"/>
                                <w:bottom w:val="none" w:sz="0" w:space="0" w:color="auto"/>
                                <w:right w:val="none" w:sz="0" w:space="0" w:color="auto"/>
                              </w:divBdr>
                              <w:divsChild>
                                <w:div w:id="113105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051044">
      <w:marLeft w:val="0"/>
      <w:marRight w:val="0"/>
      <w:marTop w:val="0"/>
      <w:marBottom w:val="0"/>
      <w:divBdr>
        <w:top w:val="none" w:sz="0" w:space="0" w:color="auto"/>
        <w:left w:val="none" w:sz="0" w:space="0" w:color="auto"/>
        <w:bottom w:val="none" w:sz="0" w:space="0" w:color="auto"/>
        <w:right w:val="none" w:sz="0" w:space="0" w:color="auto"/>
      </w:divBdr>
      <w:divsChild>
        <w:div w:id="1131051031">
          <w:marLeft w:val="0"/>
          <w:marRight w:val="0"/>
          <w:marTop w:val="0"/>
          <w:marBottom w:val="0"/>
          <w:divBdr>
            <w:top w:val="none" w:sz="0" w:space="0" w:color="auto"/>
            <w:left w:val="none" w:sz="0" w:space="0" w:color="auto"/>
            <w:bottom w:val="none" w:sz="0" w:space="0" w:color="auto"/>
            <w:right w:val="none" w:sz="0" w:space="0" w:color="auto"/>
          </w:divBdr>
          <w:divsChild>
            <w:div w:id="1131051026">
              <w:marLeft w:val="0"/>
              <w:marRight w:val="0"/>
              <w:marTop w:val="0"/>
              <w:marBottom w:val="0"/>
              <w:divBdr>
                <w:top w:val="none" w:sz="0" w:space="0" w:color="auto"/>
                <w:left w:val="none" w:sz="0" w:space="0" w:color="auto"/>
                <w:bottom w:val="none" w:sz="0" w:space="0" w:color="auto"/>
                <w:right w:val="none" w:sz="0" w:space="0" w:color="auto"/>
              </w:divBdr>
              <w:divsChild>
                <w:div w:id="1131051043">
                  <w:marLeft w:val="0"/>
                  <w:marRight w:val="0"/>
                  <w:marTop w:val="0"/>
                  <w:marBottom w:val="0"/>
                  <w:divBdr>
                    <w:top w:val="none" w:sz="0" w:space="0" w:color="auto"/>
                    <w:left w:val="none" w:sz="0" w:space="0" w:color="auto"/>
                    <w:bottom w:val="none" w:sz="0" w:space="0" w:color="auto"/>
                    <w:right w:val="none" w:sz="0" w:space="0" w:color="auto"/>
                  </w:divBdr>
                  <w:divsChild>
                    <w:div w:id="1131051036">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131051054">
      <w:marLeft w:val="0"/>
      <w:marRight w:val="0"/>
      <w:marTop w:val="0"/>
      <w:marBottom w:val="0"/>
      <w:divBdr>
        <w:top w:val="none" w:sz="0" w:space="0" w:color="auto"/>
        <w:left w:val="none" w:sz="0" w:space="0" w:color="auto"/>
        <w:bottom w:val="none" w:sz="0" w:space="0" w:color="auto"/>
        <w:right w:val="none" w:sz="0" w:space="0" w:color="auto"/>
      </w:divBdr>
      <w:divsChild>
        <w:div w:id="1131051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kingcounty.gov/healthservices/health/partnerships/HealthReform.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hi.org/offerings/Initiatives/TripleAim/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Pages>
  <Words>2418</Words>
  <Characters>13785</Characters>
  <Application>Microsoft Office Outlook</Application>
  <DocSecurity>0</DocSecurity>
  <Lines>0</Lines>
  <Paragraphs>0</Paragraphs>
  <ScaleCrop>false</ScaleCrop>
  <Company>Public Health - Seattle &amp; King County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Berning, Mary</dc:creator>
  <cp:keywords/>
  <dc:description/>
  <cp:lastModifiedBy>WOODM</cp:lastModifiedBy>
  <cp:revision>3</cp:revision>
  <cp:lastPrinted>2012-03-07T15:54:00Z</cp:lastPrinted>
  <dcterms:created xsi:type="dcterms:W3CDTF">2012-03-07T16:13:00Z</dcterms:created>
  <dcterms:modified xsi:type="dcterms:W3CDTF">2012-03-07T16:13:00Z</dcterms:modified>
</cp:coreProperties>
</file>