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700B6" w14:paraId="79A2388B" w14:textId="77777777" w:rsidTr="00F1541C">
        <w:trPr>
          <w:trHeight w:val="1340"/>
        </w:trPr>
        <w:tc>
          <w:tcPr>
            <w:tcW w:w="1980" w:type="dxa"/>
          </w:tcPr>
          <w:p w14:paraId="2AF17884" w14:textId="77777777" w:rsidR="005C76F4" w:rsidRPr="00D700B6" w:rsidRDefault="005C76F4" w:rsidP="00F1541C">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4FFEB63E" w14:textId="4C403A15" w:rsidR="005C76F4" w:rsidRPr="002C2AC4" w:rsidRDefault="005C76F4" w:rsidP="00F1541C">
            <w:pPr>
              <w:pStyle w:val="Heading1"/>
            </w:pPr>
            <w:r w:rsidRPr="00D700B6">
              <w:t xml:space="preserve">Metropolitan King County Council </w:t>
            </w:r>
            <w:r w:rsidR="002C2AC4">
              <w:br/>
            </w:r>
            <w:r w:rsidRPr="00D700B6">
              <w:t>Staff Report</w:t>
            </w:r>
          </w:p>
        </w:tc>
      </w:tr>
    </w:tbl>
    <w:p w14:paraId="1BFB593B" w14:textId="4185D4A8" w:rsidR="00D700B6" w:rsidRDefault="00D700B6" w:rsidP="00D700B6"/>
    <w:tbl>
      <w:tblPr>
        <w:tblW w:w="9350" w:type="dxa"/>
        <w:tblInd w:w="198" w:type="dxa"/>
        <w:tblBorders>
          <w:insideH w:val="single" w:sz="12" w:space="0" w:color="auto"/>
        </w:tblBorders>
        <w:tblLayout w:type="fixed"/>
        <w:tblLook w:val="0020" w:firstRow="1" w:lastRow="0" w:firstColumn="0" w:lastColumn="0" w:noHBand="0" w:noVBand="0"/>
      </w:tblPr>
      <w:tblGrid>
        <w:gridCol w:w="1800"/>
        <w:gridCol w:w="1710"/>
        <w:gridCol w:w="2340"/>
        <w:gridCol w:w="3492"/>
        <w:gridCol w:w="8"/>
      </w:tblGrid>
      <w:tr w:rsidR="005C76F4" w:rsidRPr="00D700B6" w14:paraId="2B7F5DCD" w14:textId="77777777" w:rsidTr="002C2AC4">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12780F4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22EE4FFD" w14:textId="16EDE754" w:rsidR="005C76F4" w:rsidRPr="00D700B6" w:rsidRDefault="00514C69"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Committee of the Whole</w:t>
            </w:r>
          </w:p>
        </w:tc>
      </w:tr>
      <w:tr w:rsidR="005C76F4" w:rsidRPr="00D700B6" w14:paraId="070FBCC9" w14:textId="77777777" w:rsidTr="002C2AC4">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03E407D"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7F3CCC08" w14:textId="4CB0D7AA" w:rsidR="005C76F4" w:rsidRPr="00D700B6" w:rsidRDefault="00D96B94"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8</w:t>
            </w:r>
          </w:p>
        </w:tc>
        <w:tc>
          <w:tcPr>
            <w:tcW w:w="2340" w:type="dxa"/>
            <w:tcBorders>
              <w:top w:val="single" w:sz="4" w:space="0" w:color="auto"/>
              <w:left w:val="single" w:sz="4" w:space="0" w:color="auto"/>
              <w:bottom w:val="single" w:sz="4" w:space="0" w:color="auto"/>
              <w:right w:val="single" w:sz="4" w:space="0" w:color="auto"/>
            </w:tcBorders>
            <w:vAlign w:val="center"/>
          </w:tcPr>
          <w:p w14:paraId="5A6C39D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Analyst(s):</w:t>
            </w:r>
          </w:p>
        </w:tc>
        <w:tc>
          <w:tcPr>
            <w:tcW w:w="3492" w:type="dxa"/>
            <w:tcBorders>
              <w:top w:val="single" w:sz="4" w:space="0" w:color="auto"/>
              <w:left w:val="single" w:sz="4" w:space="0" w:color="auto"/>
              <w:bottom w:val="single" w:sz="4" w:space="0" w:color="auto"/>
              <w:right w:val="single" w:sz="4" w:space="0" w:color="auto"/>
            </w:tcBorders>
            <w:vAlign w:val="center"/>
          </w:tcPr>
          <w:p w14:paraId="04F35BA7" w14:textId="6346C453" w:rsidR="005C76F4" w:rsidRPr="00D700B6" w:rsidRDefault="00514C69"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Olivia Brey</w:t>
            </w:r>
          </w:p>
        </w:tc>
      </w:tr>
      <w:tr w:rsidR="005C76F4" w:rsidRPr="00D700B6" w14:paraId="745FB0FD" w14:textId="77777777" w:rsidTr="002C2AC4">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01CA1775" w14:textId="77777777" w:rsidR="005C76F4" w:rsidRPr="00D700B6" w:rsidRDefault="005C76F4" w:rsidP="00F1541C">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40F28BF7" w14:textId="38298BEF" w:rsidR="005C76F4" w:rsidRPr="00D700B6" w:rsidRDefault="00514C69"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2026-0207</w:t>
            </w:r>
          </w:p>
        </w:tc>
        <w:tc>
          <w:tcPr>
            <w:tcW w:w="2340" w:type="dxa"/>
            <w:tcBorders>
              <w:top w:val="single" w:sz="4" w:space="0" w:color="auto"/>
              <w:left w:val="single" w:sz="4" w:space="0" w:color="auto"/>
              <w:bottom w:val="single" w:sz="4" w:space="0" w:color="auto"/>
              <w:right w:val="single" w:sz="4" w:space="0" w:color="auto"/>
            </w:tcBorders>
            <w:vAlign w:val="center"/>
          </w:tcPr>
          <w:p w14:paraId="33F05FDF" w14:textId="77777777" w:rsidR="005C76F4" w:rsidRPr="00D700B6" w:rsidRDefault="005C76F4" w:rsidP="00F1541C">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279AB006" w14:textId="4389FF7B" w:rsidR="00514C69" w:rsidRPr="00D700B6" w:rsidRDefault="00514C69"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August 25, 2026</w:t>
            </w:r>
          </w:p>
        </w:tc>
      </w:tr>
    </w:tbl>
    <w:p w14:paraId="0DF92FE9" w14:textId="77777777" w:rsidR="0070230F" w:rsidRPr="0070230F" w:rsidRDefault="0070230F" w:rsidP="0070230F">
      <w:pPr>
        <w:pStyle w:val="Heading2"/>
      </w:pPr>
      <w:bookmarkStart w:id="0" w:name="Overview"/>
      <w:r w:rsidRPr="0070230F">
        <w:t>OVERVIEW</w:t>
      </w:r>
    </w:p>
    <w:bookmarkEnd w:id="0"/>
    <w:p w14:paraId="49CE2FDC" w14:textId="2A24D2CB" w:rsidR="00906E81" w:rsidRDefault="0070230F" w:rsidP="00196B7F">
      <w:pPr>
        <w:pStyle w:val="BodyText"/>
      </w:pPr>
      <w:r w:rsidRPr="0070230F">
        <w:rPr>
          <w:b/>
          <w:bCs/>
        </w:rPr>
        <w:t>TOPIC:</w:t>
      </w:r>
      <w:r w:rsidRPr="00196B7F">
        <w:t xml:space="preserve"> </w:t>
      </w:r>
      <w:r w:rsidR="00906E81">
        <w:t>A motion accepting the Contract Transition Plan for the King County Regional Homelessness Authority and a report with responses to Motion 16970.</w:t>
      </w:r>
    </w:p>
    <w:p w14:paraId="13A61C1F" w14:textId="77777777" w:rsidR="00020164" w:rsidRDefault="0070230F" w:rsidP="00196B7F">
      <w:pPr>
        <w:pStyle w:val="BodyText"/>
      </w:pPr>
      <w:r w:rsidRPr="0070230F">
        <w:rPr>
          <w:rStyle w:val="Heading3Char"/>
        </w:rPr>
        <w:t>LEGISLATION SUMMARY</w:t>
      </w:r>
      <w:r w:rsidRPr="0070230F">
        <w:rPr>
          <w:b/>
          <w:bCs/>
        </w:rPr>
        <w:br/>
      </w:r>
      <w:r w:rsidR="00020164" w:rsidRPr="00020164">
        <w:t xml:space="preserve">In response to a forensic evaluation on the </w:t>
      </w:r>
      <w:r w:rsidR="008538EB" w:rsidRPr="00020164">
        <w:t>King County Regional Homelessness Authority (KCRHA)</w:t>
      </w:r>
      <w:r w:rsidR="00020164" w:rsidRPr="00020164">
        <w:t xml:space="preserve"> with findings related to several financial management and internal control deficiencies, the King County Council passed Motion 16970 </w:t>
      </w:r>
      <w:r w:rsidR="00020164">
        <w:t>requesting</w:t>
      </w:r>
      <w:r w:rsidR="00020164" w:rsidRPr="008538EB">
        <w:t xml:space="preserve"> the Executive provide a briefing and report</w:t>
      </w:r>
      <w:r w:rsidR="00020164">
        <w:t xml:space="preserve"> regarding KCRHA's</w:t>
      </w:r>
      <w:r w:rsidR="00020164" w:rsidRPr="008538EB">
        <w:t xml:space="preserve"> corrective actions</w:t>
      </w:r>
      <w:r w:rsidR="00020164">
        <w:t xml:space="preserve">. Proposed Motion 2026-0207 </w:t>
      </w:r>
      <w:r w:rsidR="00020164" w:rsidRPr="00020164">
        <w:t>would accept the KCRHA Contract Transition and a report with responses to Motion 16970</w:t>
      </w:r>
      <w:r w:rsidR="00020164">
        <w:t xml:space="preserve">. </w:t>
      </w:r>
    </w:p>
    <w:p w14:paraId="678A2EF2" w14:textId="508D3598" w:rsidR="008538EB" w:rsidRPr="0070230F" w:rsidRDefault="00020164" w:rsidP="00196B7F">
      <w:pPr>
        <w:pStyle w:val="BodyText"/>
        <w:rPr>
          <w:rFonts w:eastAsia="Times New Roman" w:cs="Arial"/>
          <w:kern w:val="0"/>
          <w:szCs w:val="20"/>
          <w14:ligatures w14:val="none"/>
        </w:rPr>
      </w:pPr>
      <w:r>
        <w:t xml:space="preserve">The KCRHA Contract Transition Plan </w:t>
      </w:r>
      <w:r w:rsidRPr="00020164">
        <w:t>outlines the types of contracts, timeline, and associated next steps to transition the county-funded contracts that are currently managed by KCRHA to King County</w:t>
      </w:r>
      <w:r>
        <w:t>.</w:t>
      </w:r>
      <w:r w:rsidRPr="00020164">
        <w:t xml:space="preserve"> The Plan states that King County </w:t>
      </w:r>
      <w:r>
        <w:t>would manage</w:t>
      </w:r>
      <w:r w:rsidRPr="00020164">
        <w:t xml:space="preserve"> 100 county-funded contracts, totaling $46.3 million</w:t>
      </w:r>
      <w:r w:rsidR="00044591">
        <w:t>,</w:t>
      </w:r>
      <w:r>
        <w:t xml:space="preserve"> beginning in January 2027. To handle the additional workload, the Executive anticipates hiring </w:t>
      </w:r>
      <w:r w:rsidR="00E858EB">
        <w:t>10</w:t>
      </w:r>
      <w:r>
        <w:t xml:space="preserve"> full-time equivalent employees (FTEs) with an ongoing cost of $4 million per biennium. Additional decisions</w:t>
      </w:r>
      <w:r w:rsidR="001A701A">
        <w:t xml:space="preserve"> are contingent on the Regional Reset Conversations</w:t>
      </w:r>
      <w:r w:rsidR="00044591">
        <w:t>, which are</w:t>
      </w:r>
      <w:r w:rsidR="001A701A">
        <w:t xml:space="preserve"> expected to take place through the first quarter of 2027.</w:t>
      </w:r>
    </w:p>
    <w:p w14:paraId="0C044469" w14:textId="77777777" w:rsidR="0070230F" w:rsidRPr="0070230F" w:rsidRDefault="0070230F" w:rsidP="0070230F">
      <w:pPr>
        <w:pStyle w:val="Heading3"/>
      </w:pPr>
      <w:r w:rsidRPr="0070230F">
        <w:t>KEY ISSUES FROM THE ANALYSIS</w:t>
      </w:r>
    </w:p>
    <w:p w14:paraId="1AC12BB7" w14:textId="57D7308B" w:rsidR="0070230F" w:rsidRPr="008B6C26" w:rsidRDefault="005818EC" w:rsidP="005818EC">
      <w:pPr>
        <w:pStyle w:val="KeyIssuesList"/>
        <w:rPr>
          <w:b w:val="0"/>
          <w:bCs/>
        </w:rPr>
      </w:pPr>
      <w:hyperlink w:anchor="Key_Issue_A" w:history="1">
        <w:r>
          <w:rPr>
            <w:rStyle w:val="Hyperlink"/>
          </w:rPr>
          <w:t>Compliance with Motion 16970</w:t>
        </w:r>
      </w:hyperlink>
      <w:r w:rsidR="0070230F" w:rsidRPr="0070230F">
        <w:t xml:space="preserve">  </w:t>
      </w:r>
      <w:r w:rsidRPr="008B6C26">
        <w:rPr>
          <w:b w:val="0"/>
          <w:bCs/>
        </w:rPr>
        <w:t>Attachment B to the proposed motion appears to acknowledge each of the items requested by Motion 16970, but the information provided does not appear to fully address requirements of the motion. It is a policy choice whether to accept the Contract Transition Plan and Responses to Motion 16970 or to amend the proposed motion to request another transmittal.</w:t>
      </w:r>
    </w:p>
    <w:p w14:paraId="13C33619" w14:textId="46554BE4" w:rsidR="00192F79" w:rsidRPr="00192F79" w:rsidRDefault="00192F79" w:rsidP="001B1579">
      <w:pPr>
        <w:pStyle w:val="Heading2"/>
        <w:tabs>
          <w:tab w:val="right" w:pos="9216"/>
        </w:tabs>
      </w:pPr>
      <w:r w:rsidRPr="00192F79">
        <w:lastRenderedPageBreak/>
        <w:t>BACKGROUND &amp; TIMING CONSIDERATIONS</w:t>
      </w:r>
      <w:r w:rsidR="001B1579">
        <w:tab/>
      </w:r>
      <w:hyperlink w:anchor="Overview" w:history="1">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hyperlink>
    </w:p>
    <w:p w14:paraId="6458EF4B" w14:textId="264264AD" w:rsidR="00FC6412" w:rsidRPr="00FC6412" w:rsidRDefault="00FC6412" w:rsidP="00FC6412">
      <w:pPr>
        <w:pStyle w:val="Heading3"/>
        <w:rPr>
          <w:vanish/>
          <w:specVanish/>
        </w:rPr>
      </w:pPr>
      <w:r>
        <w:t>2026 Forensic Evaluation.</w:t>
      </w:r>
    </w:p>
    <w:p w14:paraId="499EA261" w14:textId="6FCCDE22" w:rsidR="00FC6412" w:rsidRDefault="00FC6412" w:rsidP="00FC6412">
      <w:pPr>
        <w:pStyle w:val="BodyText"/>
      </w:pPr>
      <w:r>
        <w:t xml:space="preserve"> The City of Seattle and King County engaged an external consultant to complete a forensic evaluation </w:t>
      </w:r>
      <w:r w:rsidR="0010329A">
        <w:t xml:space="preserve">of the King County Regional Homelessness Authority (KCRHA) </w:t>
      </w:r>
      <w:r>
        <w:t>to assess the financial condition, governance, and risk management practices from mid-2021 (operational launch) through July 31, 2025.  The Forensic Evaluation identified several financial management and internal control deficiencies, including:</w:t>
      </w:r>
    </w:p>
    <w:p w14:paraId="65C83882" w14:textId="544DF3E4" w:rsidR="00FC6412" w:rsidRDefault="00FC6412" w:rsidP="00A2386B">
      <w:pPr>
        <w:pStyle w:val="BulletedList"/>
      </w:pPr>
      <w:r>
        <w:t>Negative cash balance reached approximately $44.7 million</w:t>
      </w:r>
      <w:r w:rsidR="00E858EB">
        <w:t>;</w:t>
      </w:r>
    </w:p>
    <w:p w14:paraId="4D2CB8D4" w14:textId="5FBD803D" w:rsidR="00FC6412" w:rsidRDefault="00FC6412" w:rsidP="00A2386B">
      <w:pPr>
        <w:pStyle w:val="BulletedList"/>
      </w:pPr>
      <w:r>
        <w:t>Interest charges related to borrowing King County Investment Pool funds totaled $1.27 million. Administrative overspend also contributed to a total administrative cash deficit of approximately $4.26 million</w:t>
      </w:r>
      <w:r w:rsidR="00E858EB">
        <w:t>; and</w:t>
      </w:r>
    </w:p>
    <w:p w14:paraId="7F8BED0D" w14:textId="1C5E1DF9" w:rsidR="00FC6412" w:rsidRDefault="00FC6412" w:rsidP="00A2386B">
      <w:pPr>
        <w:pStyle w:val="BulletedList"/>
      </w:pPr>
      <w:r>
        <w:t xml:space="preserve">Consistent growth in receivables over the scope period, with an ending balance of $49.8 million dollars, which includes a receivables balance of $8 million </w:t>
      </w:r>
      <w:r w:rsidR="00E858EB">
        <w:t xml:space="preserve">that </w:t>
      </w:r>
      <w:r>
        <w:t>could not be reconciled based on available records</w:t>
      </w:r>
      <w:r w:rsidR="00E858EB">
        <w:t>.</w:t>
      </w:r>
    </w:p>
    <w:p w14:paraId="361214C4" w14:textId="77777777" w:rsidR="00FC6412" w:rsidRDefault="00FC6412" w:rsidP="00FC6412">
      <w:pPr>
        <w:pStyle w:val="BodyText"/>
      </w:pPr>
      <w:r>
        <w:t>The Forensic Evaluation included recommendations to resolve the identified challenges including:</w:t>
      </w:r>
    </w:p>
    <w:p w14:paraId="6EB38595" w14:textId="6E270927" w:rsidR="00FC6412" w:rsidRDefault="00FC6412" w:rsidP="00A2386B">
      <w:pPr>
        <w:pStyle w:val="BulletedList"/>
      </w:pPr>
      <w:r>
        <w:t>Obtain a complete and reliable picture of cash</w:t>
      </w:r>
    </w:p>
    <w:p w14:paraId="781891EC" w14:textId="0B8890AA" w:rsidR="00FC6412" w:rsidRDefault="00FC6412" w:rsidP="00A2386B">
      <w:pPr>
        <w:pStyle w:val="BulletedList"/>
      </w:pPr>
      <w:r>
        <w:t>Implemen</w:t>
      </w:r>
      <w:r w:rsidR="00E858EB">
        <w:t>t</w:t>
      </w:r>
      <w:r>
        <w:t xml:space="preserve"> a complete and consistent GAAP-based monthly close and reporting process</w:t>
      </w:r>
    </w:p>
    <w:p w14:paraId="61A3010B" w14:textId="715F8A9A" w:rsidR="00FC6412" w:rsidRDefault="00FC6412" w:rsidP="00A2386B">
      <w:pPr>
        <w:pStyle w:val="BulletedList"/>
      </w:pPr>
      <w:r>
        <w:t>Improv</w:t>
      </w:r>
      <w:r w:rsidR="00E858EB">
        <w:t>e</w:t>
      </w:r>
      <w:r>
        <w:t xml:space="preserve"> the invoice and reimbursement process</w:t>
      </w:r>
    </w:p>
    <w:p w14:paraId="456BFC01" w14:textId="601D2F28" w:rsidR="00FC6412" w:rsidRDefault="00FC6412" w:rsidP="00A2386B">
      <w:pPr>
        <w:pStyle w:val="BulletedList"/>
      </w:pPr>
      <w:r>
        <w:t>Strengthen budget management, oversight, and reporting</w:t>
      </w:r>
    </w:p>
    <w:p w14:paraId="5AAF999D" w14:textId="5AA6ECA5" w:rsidR="00FC6412" w:rsidRDefault="00FC6412" w:rsidP="00A2386B">
      <w:pPr>
        <w:pStyle w:val="BulletedList"/>
      </w:pPr>
      <w:r>
        <w:t>Implement and document an internal control framework aligned with COSO</w:t>
      </w:r>
    </w:p>
    <w:p w14:paraId="1DA5016A" w14:textId="50D14AFC" w:rsidR="00FC6412" w:rsidRDefault="00FC6412" w:rsidP="00A2386B">
      <w:pPr>
        <w:pStyle w:val="BulletedList"/>
      </w:pPr>
      <w:r>
        <w:t>Review and align with Uniform Guidance (2 CFR Part 200)</w:t>
      </w:r>
    </w:p>
    <w:p w14:paraId="0E5BACEA" w14:textId="6788CBC4" w:rsidR="00FC6412" w:rsidRDefault="00FC6412" w:rsidP="00A2386B">
      <w:pPr>
        <w:pStyle w:val="BulletedList"/>
      </w:pPr>
      <w:r>
        <w:t>Additional external accounting, advisory, and project management support</w:t>
      </w:r>
    </w:p>
    <w:p w14:paraId="724BC589" w14:textId="03F950D2" w:rsidR="00A519B0" w:rsidRPr="00A519B0" w:rsidRDefault="00A519B0" w:rsidP="00A519B0">
      <w:pPr>
        <w:pStyle w:val="Heading3"/>
        <w:rPr>
          <w:vanish/>
          <w:specVanish/>
        </w:rPr>
      </w:pPr>
      <w:r>
        <w:t>Motion 16970.</w:t>
      </w:r>
    </w:p>
    <w:p w14:paraId="3328E3EE" w14:textId="5B152833" w:rsidR="007E5873" w:rsidRDefault="00A519B0" w:rsidP="00773A93">
      <w:pPr>
        <w:pStyle w:val="BodyText"/>
      </w:pPr>
      <w:r>
        <w:t xml:space="preserve"> </w:t>
      </w:r>
      <w:r w:rsidR="008538EB">
        <w:t>The King County Council passed Motion 16970</w:t>
      </w:r>
      <w:r w:rsidR="00773A93">
        <w:rPr>
          <w:rStyle w:val="FootnoteReference"/>
        </w:rPr>
        <w:footnoteReference w:id="1"/>
      </w:r>
      <w:r w:rsidR="008538EB">
        <w:t xml:space="preserve"> on May 5, 2026, which requested</w:t>
      </w:r>
      <w:r w:rsidR="008538EB" w:rsidRPr="008538EB">
        <w:t xml:space="preserve"> that the Executive provide a briefing and report</w:t>
      </w:r>
      <w:r w:rsidR="008538EB">
        <w:t xml:space="preserve"> regarding </w:t>
      </w:r>
      <w:r w:rsidR="0010329A">
        <w:t>KCRHA's</w:t>
      </w:r>
      <w:r w:rsidR="008538EB" w:rsidRPr="008538EB">
        <w:t xml:space="preserve"> corrective actions towards addressing financial management and internal control deficiencies, as well as the administrative funding needs and </w:t>
      </w:r>
      <w:r w:rsidR="00773A93">
        <w:t xml:space="preserve">a </w:t>
      </w:r>
      <w:r w:rsidR="008538EB" w:rsidRPr="008538EB">
        <w:t>decision framework of the continued participation in the Amended and Restated Interlocal Agreement</w:t>
      </w:r>
      <w:r w:rsidR="003A205F">
        <w:t xml:space="preserve"> (ILA)</w:t>
      </w:r>
      <w:r w:rsidR="008538EB" w:rsidRPr="008538EB">
        <w:t>.</w:t>
      </w:r>
      <w:r w:rsidR="00773A93">
        <w:t xml:space="preserve"> </w:t>
      </w:r>
      <w:r w:rsidR="007E5873">
        <w:t>Executive staff</w:t>
      </w:r>
      <w:r w:rsidR="001D6D17">
        <w:t xml:space="preserve">, </w:t>
      </w:r>
      <w:r w:rsidR="001D6D17">
        <w:lastRenderedPageBreak/>
        <w:t xml:space="preserve">along with a representative from KCRHA, </w:t>
      </w:r>
      <w:r w:rsidR="007E5873">
        <w:t>provided a briefing to the Committee of the Whole on June 8, 2026</w:t>
      </w:r>
      <w:r w:rsidR="001D6D17">
        <w:t>.</w:t>
      </w:r>
      <w:r w:rsidR="007E5873">
        <w:rPr>
          <w:rStyle w:val="FootnoteReference"/>
        </w:rPr>
        <w:footnoteReference w:id="2"/>
      </w:r>
      <w:r w:rsidR="001D6D17">
        <w:t xml:space="preserve"> </w:t>
      </w:r>
    </w:p>
    <w:p w14:paraId="3F56980E" w14:textId="01B90CB3" w:rsidR="003A205F" w:rsidRDefault="003A205F" w:rsidP="00773A93">
      <w:pPr>
        <w:pStyle w:val="BodyText"/>
      </w:pPr>
      <w:r>
        <w:t>The motion requests that the report, in consultation with the City of Seattle, homelessness service providers, members of the KCRHA Governing Board, and other stakeholders, include the following items:</w:t>
      </w:r>
    </w:p>
    <w:p w14:paraId="38739F7D" w14:textId="6D89F937" w:rsidR="003A205F" w:rsidRPr="003A205F" w:rsidRDefault="003A205F" w:rsidP="00A2386B">
      <w:pPr>
        <w:pStyle w:val="BulletedList"/>
      </w:pPr>
      <w:r w:rsidRPr="003A205F">
        <w:rPr>
          <w:u w:val="single"/>
        </w:rPr>
        <w:t>Recommendation on the ILA:</w:t>
      </w:r>
      <w:r>
        <w:t xml:space="preserve"> A recommendation on whether King County should continue, amend, or terminate its participation in the ILA.</w:t>
      </w:r>
    </w:p>
    <w:p w14:paraId="68358E0D" w14:textId="612AA372" w:rsidR="00773A93" w:rsidRDefault="00773A93" w:rsidP="00A2386B">
      <w:pPr>
        <w:pStyle w:val="BulletedList"/>
      </w:pPr>
      <w:r w:rsidRPr="00773A93">
        <w:rPr>
          <w:u w:val="single"/>
        </w:rPr>
        <w:t>Decision framework:</w:t>
      </w:r>
      <w:r>
        <w:t xml:space="preserve"> A clear decision framework to guide the Council's consideration on whether King County should continue, amend, or terminate its participation in the ILA</w:t>
      </w:r>
      <w:r w:rsidR="003A205F">
        <w:t>.</w:t>
      </w:r>
    </w:p>
    <w:p w14:paraId="69977451" w14:textId="40907E00" w:rsidR="00773A93" w:rsidRDefault="00773A93" w:rsidP="00A2386B">
      <w:pPr>
        <w:pStyle w:val="BulletedList"/>
      </w:pPr>
      <w:r w:rsidRPr="003A205F">
        <w:rPr>
          <w:u w:val="single"/>
        </w:rPr>
        <w:t>Transition steps</w:t>
      </w:r>
      <w:r>
        <w:t xml:space="preserve">: An assessment of necessary steps and a plan for which funder would be responsible </w:t>
      </w:r>
      <w:r w:rsidR="00E858EB">
        <w:t>for</w:t>
      </w:r>
      <w:r>
        <w:t xml:space="preserve"> transition</w:t>
      </w:r>
      <w:r w:rsidR="00E858EB">
        <w:t>ing</w:t>
      </w:r>
      <w:r>
        <w:t xml:space="preserve"> contracts and activities managed by KCRHA.</w:t>
      </w:r>
    </w:p>
    <w:p w14:paraId="72564155" w14:textId="53131B92" w:rsidR="00773A93" w:rsidRDefault="00773A93" w:rsidP="00A2386B">
      <w:pPr>
        <w:pStyle w:val="BulletedList"/>
      </w:pPr>
      <w:r w:rsidRPr="003A205F">
        <w:rPr>
          <w:u w:val="single"/>
        </w:rPr>
        <w:t>Impacts on the C</w:t>
      </w:r>
      <w:r w:rsidR="003A205F">
        <w:rPr>
          <w:u w:val="single"/>
        </w:rPr>
        <w:t>ontinuum of Care (CoC)</w:t>
      </w:r>
      <w:r>
        <w:t>: An assessment of the impacts that a termination of the ILA would have on the CoC Board and programs, as well as potential mitigation measures.</w:t>
      </w:r>
    </w:p>
    <w:p w14:paraId="72154805" w14:textId="5A466107" w:rsidR="00773A93" w:rsidRDefault="00773A93" w:rsidP="00A2386B">
      <w:pPr>
        <w:pStyle w:val="BulletedList"/>
      </w:pPr>
      <w:r w:rsidRPr="003A205F">
        <w:rPr>
          <w:u w:val="single"/>
        </w:rPr>
        <w:t>Timeline</w:t>
      </w:r>
      <w:r>
        <w:t xml:space="preserve">: An assessment of whether the 12-month period outlined in the ILA would provide sufficient time to complete a transition or an alternative proposed timeline. </w:t>
      </w:r>
    </w:p>
    <w:p w14:paraId="3578E89E" w14:textId="0A30A8F5" w:rsidR="00773A93" w:rsidRDefault="00773A93" w:rsidP="00A2386B">
      <w:pPr>
        <w:pStyle w:val="BulletedList"/>
      </w:pPr>
      <w:r w:rsidRPr="003A205F">
        <w:rPr>
          <w:u w:val="single"/>
        </w:rPr>
        <w:t>County readiness</w:t>
      </w:r>
      <w:r>
        <w:t xml:space="preserve">: An assessment of the readiness of </w:t>
      </w:r>
      <w:r w:rsidR="00E858EB">
        <w:t>c</w:t>
      </w:r>
      <w:r>
        <w:t xml:space="preserve">ounty departments to assume activities currently carried out by KCRHA and consideration of a new </w:t>
      </w:r>
      <w:r w:rsidR="00E858EB">
        <w:t>c</w:t>
      </w:r>
      <w:r>
        <w:t>ounty department or entity, including staffing and budget required for transition.</w:t>
      </w:r>
    </w:p>
    <w:p w14:paraId="7A80D886" w14:textId="3502FA16" w:rsidR="00773A93" w:rsidRDefault="00773A93" w:rsidP="00A2386B">
      <w:pPr>
        <w:pStyle w:val="BulletedList"/>
      </w:pPr>
      <w:r w:rsidRPr="003A205F">
        <w:rPr>
          <w:u w:val="single"/>
        </w:rPr>
        <w:t>Compliance with funding requirements</w:t>
      </w:r>
      <w:r>
        <w:t>: An assessment of necessary actions to ensure continued compliance with state, federal, and other funding requirements during a potential transition.</w:t>
      </w:r>
    </w:p>
    <w:p w14:paraId="3BFF98CC" w14:textId="4E40E459" w:rsidR="00773A93" w:rsidRDefault="00773A93" w:rsidP="00A2386B">
      <w:pPr>
        <w:pStyle w:val="BulletedList"/>
      </w:pPr>
      <w:r w:rsidRPr="003A205F">
        <w:rPr>
          <w:u w:val="single"/>
        </w:rPr>
        <w:t>Actions for continuity of services:</w:t>
      </w:r>
      <w:r w:rsidRPr="00E858EB">
        <w:t xml:space="preserve"> </w:t>
      </w:r>
      <w:r>
        <w:t xml:space="preserve">An assessment of other necessary steps to ensure continuation of homelessness response services without reduction in services during a potential transition. </w:t>
      </w:r>
    </w:p>
    <w:p w14:paraId="5795975C" w14:textId="2A8519AD" w:rsidR="00773A93" w:rsidRDefault="00773A93" w:rsidP="00A2386B">
      <w:pPr>
        <w:pStyle w:val="BulletedList"/>
      </w:pPr>
      <w:r w:rsidRPr="003A205F">
        <w:rPr>
          <w:u w:val="single"/>
        </w:rPr>
        <w:t>Financial risks</w:t>
      </w:r>
      <w:r>
        <w:t xml:space="preserve">: An assessment of financial risks during a potential transition and proposed actions to prevent disruption of contracted services. </w:t>
      </w:r>
    </w:p>
    <w:p w14:paraId="20DC88AE" w14:textId="4F36D88A" w:rsidR="00773A93" w:rsidRDefault="00773A93" w:rsidP="00A2386B">
      <w:pPr>
        <w:pStyle w:val="BulletedList"/>
      </w:pPr>
      <w:r w:rsidRPr="003A205F">
        <w:rPr>
          <w:u w:val="single"/>
        </w:rPr>
        <w:t>Potential reforms:</w:t>
      </w:r>
      <w:r>
        <w:t xml:space="preserve"> Any proposed reforms or changes to KCRHA if the Executive recommends against termination of the ILA.</w:t>
      </w:r>
    </w:p>
    <w:p w14:paraId="76F5EDFE" w14:textId="17948424" w:rsidR="00A2386B" w:rsidRDefault="00773A93" w:rsidP="004155DD">
      <w:pPr>
        <w:pStyle w:val="BulletedList"/>
        <w:spacing w:after="240"/>
      </w:pPr>
      <w:r w:rsidRPr="003A205F">
        <w:rPr>
          <w:u w:val="single"/>
        </w:rPr>
        <w:lastRenderedPageBreak/>
        <w:t>Other considerations</w:t>
      </w:r>
      <w:r>
        <w:t xml:space="preserve">: An outline of other considerations the Council should </w:t>
      </w:r>
      <w:r w:rsidR="00E858EB">
        <w:t>consider</w:t>
      </w:r>
      <w:r>
        <w:t>, as well as an update on the status of KCRHA's Corrective Action Plan.</w:t>
      </w:r>
    </w:p>
    <w:p w14:paraId="287D10EA" w14:textId="3F9B5E2E" w:rsidR="0010329A" w:rsidRPr="0010329A" w:rsidRDefault="0010329A" w:rsidP="0010329A">
      <w:pPr>
        <w:pStyle w:val="Heading3"/>
        <w:rPr>
          <w:vanish/>
          <w:specVanish/>
        </w:rPr>
      </w:pPr>
      <w:r w:rsidRPr="0010329A">
        <w:t>Select Correspondence and Updates.</w:t>
      </w:r>
    </w:p>
    <w:p w14:paraId="5F1141FC" w14:textId="088E8F5B" w:rsidR="0010329A" w:rsidRPr="0010329A" w:rsidRDefault="0010329A" w:rsidP="0010329A">
      <w:pPr>
        <w:pStyle w:val="BodyText"/>
      </w:pPr>
      <w:r>
        <w:t xml:space="preserve"> There </w:t>
      </w:r>
      <w:r w:rsidR="006111BB">
        <w:t>have</w:t>
      </w:r>
      <w:r>
        <w:t xml:space="preserve"> been</w:t>
      </w:r>
      <w:r w:rsidR="001D6D17">
        <w:t xml:space="preserve"> </w:t>
      </w:r>
      <w:r w:rsidR="006111BB">
        <w:t>several</w:t>
      </w:r>
      <w:r w:rsidR="001D6D17">
        <w:t xml:space="preserve"> updates from KCRHA, as well as joint responses from King County and the City of Seattle</w:t>
      </w:r>
      <w:r w:rsidR="00803E1D">
        <w:t xml:space="preserve"> and the contractor, Clark Nuber P.S.</w:t>
      </w:r>
      <w:r w:rsidR="001D6D17">
        <w:t xml:space="preserve">, </w:t>
      </w:r>
      <w:r w:rsidR="006111BB">
        <w:t>regarding progress</w:t>
      </w:r>
      <w:r w:rsidR="00B925C4">
        <w:t xml:space="preserve"> </w:t>
      </w:r>
      <w:r w:rsidR="00067B91">
        <w:t>and commitments to</w:t>
      </w:r>
      <w:r w:rsidR="00B925C4">
        <w:t>wards</w:t>
      </w:r>
      <w:r w:rsidR="00067B91">
        <w:t xml:space="preserve"> </w:t>
      </w:r>
      <w:r w:rsidR="006111BB" w:rsidRPr="008538EB">
        <w:t xml:space="preserve">addressing </w:t>
      </w:r>
      <w:r w:rsidR="006111BB">
        <w:t>findings from the Forensic Evaluation.</w:t>
      </w:r>
      <w:r w:rsidR="00067B91">
        <w:t xml:space="preserve"> A</w:t>
      </w:r>
      <w:r w:rsidR="00B925C4">
        <w:t xml:space="preserve">n overview </w:t>
      </w:r>
      <w:r w:rsidR="00067B91">
        <w:t xml:space="preserve">of the correspondence can be found as </w:t>
      </w:r>
      <w:r w:rsidR="00B925C4">
        <w:t>A</w:t>
      </w:r>
      <w:r w:rsidR="00067B91">
        <w:t xml:space="preserve">ttachment </w:t>
      </w:r>
      <w:r w:rsidR="00B925C4">
        <w:t xml:space="preserve">4 </w:t>
      </w:r>
      <w:r w:rsidR="00067B91">
        <w:t xml:space="preserve">to this staff report. Most recently, On July 1, 2026, Executive Zahilay and Mayor Wilson announced that </w:t>
      </w:r>
      <w:r w:rsidR="00B925C4">
        <w:t xml:space="preserve">the management of </w:t>
      </w:r>
      <w:r w:rsidR="00803E1D">
        <w:t xml:space="preserve">county- and </w:t>
      </w:r>
      <w:r w:rsidR="00B925C4">
        <w:t>city-funded contracts would return to King County and the City of Seattle</w:t>
      </w:r>
      <w:r w:rsidR="00803E1D">
        <w:t>, respectively</w:t>
      </w:r>
      <w:r w:rsidR="00B925C4">
        <w:t xml:space="preserve">. KCRHA would retain responsibility as the lead entity for King County's </w:t>
      </w:r>
      <w:r w:rsidR="00713F72">
        <w:t xml:space="preserve">CoC </w:t>
      </w:r>
      <w:r w:rsidR="00803E1D">
        <w:t>and several other programs to be described in the Contract Transition Plan</w:t>
      </w:r>
      <w:r w:rsidR="00B925C4">
        <w:t>.</w:t>
      </w:r>
    </w:p>
    <w:p w14:paraId="5403AB1F" w14:textId="6949E541" w:rsidR="00192F79" w:rsidRPr="001B1579" w:rsidRDefault="00192F79" w:rsidP="001B1579">
      <w:pPr>
        <w:pStyle w:val="Heading2"/>
        <w:tabs>
          <w:tab w:val="right" w:pos="9216"/>
        </w:tabs>
        <w:rPr>
          <w:rStyle w:val="Hyperlink"/>
        </w:rPr>
      </w:pPr>
      <w:r w:rsidRPr="00192F79">
        <w:t>ANALYSIS</w:t>
      </w:r>
      <w:r w:rsidR="001B1579">
        <w:tab/>
      </w:r>
      <w:r w:rsidR="001B1579">
        <w:rPr>
          <w:color w:val="FFFFFF" w:themeColor="background1"/>
          <w:sz w:val="20"/>
          <w:szCs w:val="20"/>
        </w:rPr>
        <w:fldChar w:fldCharType="begin"/>
      </w:r>
      <w:r w:rsidR="001B1579">
        <w:rPr>
          <w:color w:val="FFFFFF" w:themeColor="background1"/>
          <w:sz w:val="20"/>
          <w:szCs w:val="20"/>
        </w:rPr>
        <w:instrText>HYPERLINK  \l "Key_Issue"</w:instrText>
      </w:r>
      <w:r w:rsidR="001B1579">
        <w:rPr>
          <w:color w:val="FFFFFF" w:themeColor="background1"/>
          <w:sz w:val="20"/>
          <w:szCs w:val="20"/>
        </w:rPr>
      </w:r>
      <w:r w:rsidR="001B1579">
        <w:rPr>
          <w:color w:val="FFFFFF" w:themeColor="background1"/>
          <w:sz w:val="20"/>
          <w:szCs w:val="20"/>
        </w:rPr>
        <w:fldChar w:fldCharType="separate"/>
      </w:r>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p>
    <w:p w14:paraId="73C4574F" w14:textId="590255C3" w:rsidR="00E906C9" w:rsidRPr="00C25094" w:rsidRDefault="001B1579" w:rsidP="00C25094">
      <w:pPr>
        <w:pStyle w:val="BodyText"/>
      </w:pPr>
      <w:r>
        <w:fldChar w:fldCharType="end"/>
      </w:r>
      <w:r w:rsidR="00E906C9" w:rsidRPr="00C25094">
        <w:t>Proposed Motion 2026-0207 would</w:t>
      </w:r>
      <w:r w:rsidR="00E86119" w:rsidRPr="00C25094">
        <w:t xml:space="preserve"> accept the KCRHA Contract Transition and a report with responses to Motion 16970. </w:t>
      </w:r>
      <w:r w:rsidR="00111966" w:rsidRPr="00C25094">
        <w:t>Both</w:t>
      </w:r>
      <w:r w:rsidR="00E86119" w:rsidRPr="00C25094">
        <w:t xml:space="preserve"> documents were transmitted as attachments to the proposed motion. </w:t>
      </w:r>
    </w:p>
    <w:p w14:paraId="252A493A" w14:textId="6B8046C0" w:rsidR="00E906C9" w:rsidRPr="00E906C9" w:rsidRDefault="00E906C9" w:rsidP="00E906C9">
      <w:pPr>
        <w:pStyle w:val="Heading3"/>
        <w:rPr>
          <w:vanish/>
          <w:specVanish/>
        </w:rPr>
      </w:pPr>
      <w:r>
        <w:t>KCRHA Contract Transition Plan.</w:t>
      </w:r>
    </w:p>
    <w:p w14:paraId="637D25DA" w14:textId="07A2A1B1" w:rsidR="001C1CD3" w:rsidRDefault="00E906C9" w:rsidP="00E906C9">
      <w:pPr>
        <w:pStyle w:val="BodyText"/>
      </w:pPr>
      <w:r>
        <w:t xml:space="preserve"> The KCRHA Contract Transition Plan</w:t>
      </w:r>
      <w:r w:rsidR="00111966">
        <w:t xml:space="preserve">, Attachment A to the proposed motion, </w:t>
      </w:r>
      <w:r w:rsidR="009618F1">
        <w:t xml:space="preserve">outlines the types of contracts, timeline, and </w:t>
      </w:r>
      <w:r w:rsidR="008615E4">
        <w:t xml:space="preserve">associated </w:t>
      </w:r>
      <w:r w:rsidR="009618F1">
        <w:t xml:space="preserve">next steps to transition the county-funded contracts that are currently managed by KCRHA to King County's Department of Community and Human Service's Housing and Community Development Division (HCD). </w:t>
      </w:r>
      <w:r w:rsidR="00F132F8">
        <w:t xml:space="preserve">Both the City and the County plan to extend providers' 2026 contracts through 2027. </w:t>
      </w:r>
      <w:r w:rsidR="005B57E6">
        <w:t xml:space="preserve">The distribution of contracts between the County and KCRHA beginning in January 2027 is shown in Table 1. </w:t>
      </w:r>
    </w:p>
    <w:p w14:paraId="02A31319" w14:textId="74997375" w:rsidR="00F611D4" w:rsidRDefault="00F611D4" w:rsidP="005B57E6">
      <w:pPr>
        <w:pStyle w:val="Subtitle"/>
      </w:pPr>
      <w:r>
        <w:t xml:space="preserve">Table 1. </w:t>
      </w:r>
      <w:r w:rsidR="005B57E6">
        <w:t>Planned Contract Administration Beginning January 2027</w:t>
      </w:r>
    </w:p>
    <w:tbl>
      <w:tblPr>
        <w:tblStyle w:val="GridTable4-Accent51"/>
        <w:tblW w:w="9805" w:type="dxa"/>
        <w:tblLook w:val="04A0" w:firstRow="1" w:lastRow="0" w:firstColumn="1" w:lastColumn="0" w:noHBand="0" w:noVBand="1"/>
      </w:tblPr>
      <w:tblGrid>
        <w:gridCol w:w="1843"/>
        <w:gridCol w:w="3981"/>
        <w:gridCol w:w="3981"/>
      </w:tblGrid>
      <w:tr w:rsidR="00D0495B" w14:paraId="31C114DE" w14:textId="125F2C98" w:rsidTr="005B57E6">
        <w:trPr>
          <w:cnfStyle w:val="100000000000" w:firstRow="1" w:lastRow="0" w:firstColumn="0" w:lastColumn="0" w:oddVBand="0" w:evenVBand="0" w:oddHBand="0" w:evenHBand="0" w:firstRowFirstColumn="0" w:firstRowLastColumn="0" w:lastRowFirstColumn="0" w:lastRowLastColumn="0"/>
          <w:trHeight w:val="432"/>
          <w:tblHeader/>
        </w:trPr>
        <w:tc>
          <w:tcPr>
            <w:cnfStyle w:val="001000000000" w:firstRow="0" w:lastRow="0" w:firstColumn="1" w:lastColumn="0" w:oddVBand="0" w:evenVBand="0" w:oddHBand="0" w:evenHBand="0" w:firstRowFirstColumn="0" w:firstRowLastColumn="0" w:lastRowFirstColumn="0" w:lastRowLastColumn="0"/>
            <w:tcW w:w="1843" w:type="dxa"/>
          </w:tcPr>
          <w:p w14:paraId="0E4A6FCE" w14:textId="77777777" w:rsidR="00D0495B" w:rsidRDefault="00D0495B" w:rsidP="00E906C9">
            <w:pPr>
              <w:pStyle w:val="BodyText"/>
            </w:pPr>
          </w:p>
        </w:tc>
        <w:tc>
          <w:tcPr>
            <w:tcW w:w="3981" w:type="dxa"/>
          </w:tcPr>
          <w:p w14:paraId="58AFF186" w14:textId="2B4239B4" w:rsidR="00D0495B" w:rsidRDefault="00D0495B" w:rsidP="00E906C9">
            <w:pPr>
              <w:pStyle w:val="BodyText"/>
              <w:cnfStyle w:val="100000000000" w:firstRow="1" w:lastRow="0" w:firstColumn="0" w:lastColumn="0" w:oddVBand="0" w:evenVBand="0" w:oddHBand="0" w:evenHBand="0" w:firstRowFirstColumn="0" w:firstRowLastColumn="0" w:lastRowFirstColumn="0" w:lastRowLastColumn="0"/>
            </w:pPr>
            <w:r>
              <w:t>King County</w:t>
            </w:r>
          </w:p>
        </w:tc>
        <w:tc>
          <w:tcPr>
            <w:tcW w:w="3981" w:type="dxa"/>
          </w:tcPr>
          <w:p w14:paraId="70D18AA7" w14:textId="732973EA" w:rsidR="00D0495B" w:rsidRDefault="00D0495B" w:rsidP="00E906C9">
            <w:pPr>
              <w:pStyle w:val="BodyText"/>
              <w:cnfStyle w:val="100000000000" w:firstRow="1" w:lastRow="0" w:firstColumn="0" w:lastColumn="0" w:oddVBand="0" w:evenVBand="0" w:oddHBand="0" w:evenHBand="0" w:firstRowFirstColumn="0" w:firstRowLastColumn="0" w:lastRowFirstColumn="0" w:lastRowLastColumn="0"/>
            </w:pPr>
            <w:r>
              <w:t>KCRHA</w:t>
            </w:r>
          </w:p>
        </w:tc>
      </w:tr>
      <w:tr w:rsidR="00D0495B" w14:paraId="0017C63D" w14:textId="3FA718F9" w:rsidTr="005B57E6">
        <w:trPr>
          <w:trHeight w:val="2087"/>
        </w:trPr>
        <w:tc>
          <w:tcPr>
            <w:cnfStyle w:val="001000000000" w:firstRow="0" w:lastRow="0" w:firstColumn="1" w:lastColumn="0" w:oddVBand="0" w:evenVBand="0" w:oddHBand="0" w:evenHBand="0" w:firstRowFirstColumn="0" w:firstRowLastColumn="0" w:lastRowFirstColumn="0" w:lastRowLastColumn="0"/>
            <w:tcW w:w="1843" w:type="dxa"/>
          </w:tcPr>
          <w:p w14:paraId="574A4736" w14:textId="297C3BE5" w:rsidR="00D0495B" w:rsidRDefault="00D0495B" w:rsidP="00E906C9">
            <w:pPr>
              <w:pStyle w:val="BodyText"/>
            </w:pPr>
            <w:r>
              <w:t>Programs</w:t>
            </w:r>
          </w:p>
        </w:tc>
        <w:tc>
          <w:tcPr>
            <w:tcW w:w="3981" w:type="dxa"/>
          </w:tcPr>
          <w:p w14:paraId="3284BDE5" w14:textId="77777777" w:rsidR="00D0495B" w:rsidRDefault="00D0495B" w:rsidP="00DA149D">
            <w:pPr>
              <w:pStyle w:val="BulletedList"/>
              <w:jc w:val="left"/>
              <w:cnfStyle w:val="000000000000" w:firstRow="0" w:lastRow="0" w:firstColumn="0" w:lastColumn="0" w:oddVBand="0" w:evenVBand="0" w:oddHBand="0" w:evenHBand="0" w:firstRowFirstColumn="0" w:firstRowLastColumn="0" w:lastRowFirstColumn="0" w:lastRowLastColumn="0"/>
            </w:pPr>
            <w:r>
              <w:t>Diversion</w:t>
            </w:r>
          </w:p>
          <w:p w14:paraId="6FEC2B3C" w14:textId="77777777" w:rsidR="00D0495B" w:rsidRDefault="00D0495B" w:rsidP="00DA149D">
            <w:pPr>
              <w:pStyle w:val="BulletedList"/>
              <w:jc w:val="left"/>
              <w:cnfStyle w:val="000000000000" w:firstRow="0" w:lastRow="0" w:firstColumn="0" w:lastColumn="0" w:oddVBand="0" w:evenVBand="0" w:oddHBand="0" w:evenHBand="0" w:firstRowFirstColumn="0" w:firstRowLastColumn="0" w:lastRowFirstColumn="0" w:lastRowLastColumn="0"/>
            </w:pPr>
            <w:r>
              <w:t>Day Centers/Outreach</w:t>
            </w:r>
          </w:p>
          <w:p w14:paraId="616D4E7C" w14:textId="77777777" w:rsidR="00D0495B" w:rsidRDefault="00D0495B" w:rsidP="00DA149D">
            <w:pPr>
              <w:pStyle w:val="BulletedList"/>
              <w:jc w:val="left"/>
              <w:cnfStyle w:val="000000000000" w:firstRow="0" w:lastRow="0" w:firstColumn="0" w:lastColumn="0" w:oddVBand="0" w:evenVBand="0" w:oddHBand="0" w:evenHBand="0" w:firstRowFirstColumn="0" w:firstRowLastColumn="0" w:lastRowFirstColumn="0" w:lastRowLastColumn="0"/>
            </w:pPr>
            <w:r>
              <w:t>Emergency Shelter</w:t>
            </w:r>
          </w:p>
          <w:p w14:paraId="0F3CD2F8" w14:textId="77777777" w:rsidR="00D0495B" w:rsidRDefault="00D0495B" w:rsidP="00DA149D">
            <w:pPr>
              <w:pStyle w:val="BulletedList"/>
              <w:jc w:val="left"/>
              <w:cnfStyle w:val="000000000000" w:firstRow="0" w:lastRow="0" w:firstColumn="0" w:lastColumn="0" w:oddVBand="0" w:evenVBand="0" w:oddHBand="0" w:evenHBand="0" w:firstRowFirstColumn="0" w:firstRowLastColumn="0" w:lastRowFirstColumn="0" w:lastRowLastColumn="0"/>
            </w:pPr>
            <w:r>
              <w:t>Transitional Housing</w:t>
            </w:r>
          </w:p>
          <w:p w14:paraId="0000D5EF" w14:textId="4506AC2E" w:rsidR="00D0495B" w:rsidRDefault="00D0495B" w:rsidP="00DA149D">
            <w:pPr>
              <w:pStyle w:val="BulletedList"/>
              <w:jc w:val="left"/>
              <w:cnfStyle w:val="000000000000" w:firstRow="0" w:lastRow="0" w:firstColumn="0" w:lastColumn="0" w:oddVBand="0" w:evenVBand="0" w:oddHBand="0" w:evenHBand="0" w:firstRowFirstColumn="0" w:firstRowLastColumn="0" w:lastRowFirstColumn="0" w:lastRowLastColumn="0"/>
            </w:pPr>
            <w:r>
              <w:t>Rapid Re-Housing</w:t>
            </w:r>
          </w:p>
          <w:p w14:paraId="579AD628" w14:textId="35397339" w:rsidR="00D0495B" w:rsidRDefault="00D0495B" w:rsidP="00DA149D">
            <w:pPr>
              <w:pStyle w:val="BulletedList"/>
              <w:jc w:val="left"/>
              <w:cnfStyle w:val="000000000000" w:firstRow="0" w:lastRow="0" w:firstColumn="0" w:lastColumn="0" w:oddVBand="0" w:evenVBand="0" w:oddHBand="0" w:evenHBand="0" w:firstRowFirstColumn="0" w:firstRowLastColumn="0" w:lastRowFirstColumn="0" w:lastRowLastColumn="0"/>
            </w:pPr>
            <w:r>
              <w:t>System Support</w:t>
            </w:r>
          </w:p>
        </w:tc>
        <w:tc>
          <w:tcPr>
            <w:tcW w:w="3981" w:type="dxa"/>
          </w:tcPr>
          <w:p w14:paraId="0B4B757C" w14:textId="637A14E6" w:rsidR="00D0495B" w:rsidRDefault="00D0495B" w:rsidP="00DA149D">
            <w:pPr>
              <w:pStyle w:val="BulletedList"/>
              <w:jc w:val="left"/>
              <w:cnfStyle w:val="000000000000" w:firstRow="0" w:lastRow="0" w:firstColumn="0" w:lastColumn="0" w:oddVBand="0" w:evenVBand="0" w:oddHBand="0" w:evenHBand="0" w:firstRowFirstColumn="0" w:firstRowLastColumn="0" w:lastRowFirstColumn="0" w:lastRowLastColumn="0"/>
            </w:pPr>
            <w:r>
              <w:t xml:space="preserve">Contracts for severe weather shelter </w:t>
            </w:r>
            <w:r w:rsidR="006D351E">
              <w:t>only where the County does not already contract with the provider</w:t>
            </w:r>
          </w:p>
          <w:p w14:paraId="6A1699D1" w14:textId="343C8B8C" w:rsidR="006D351E" w:rsidRDefault="006D351E" w:rsidP="00DA149D">
            <w:pPr>
              <w:pStyle w:val="BulletedList"/>
              <w:jc w:val="left"/>
              <w:cnfStyle w:val="000000000000" w:firstRow="0" w:lastRow="0" w:firstColumn="0" w:lastColumn="0" w:oddVBand="0" w:evenVBand="0" w:oddHBand="0" w:evenHBand="0" w:firstRowFirstColumn="0" w:firstRowLastColumn="0" w:lastRowFirstColumn="0" w:lastRowLastColumn="0"/>
            </w:pPr>
            <w:r>
              <w:t>Contracts where the County</w:t>
            </w:r>
            <w:r w:rsidR="00713F72">
              <w:t xml:space="preserve"> match an existing Housing and Urban Development (HUD) CoC award and may be used in the same project for HUD-eligible activities</w:t>
            </w:r>
          </w:p>
        </w:tc>
      </w:tr>
    </w:tbl>
    <w:p w14:paraId="70DE88DC" w14:textId="7654A622" w:rsidR="00E365BE" w:rsidRDefault="001E6650" w:rsidP="00020164">
      <w:pPr>
        <w:pStyle w:val="BodyText"/>
        <w:spacing w:before="240"/>
      </w:pPr>
      <w:r>
        <w:lastRenderedPageBreak/>
        <w:t>T</w:t>
      </w:r>
      <w:r w:rsidRPr="001E6650">
        <w:t>he Plan states that this division of contract administration would result in King County managing 100 county-funded contracts, totaling $46.3 million.</w:t>
      </w:r>
      <w:r>
        <w:t xml:space="preserve"> </w:t>
      </w:r>
      <w:r w:rsidR="00E365BE" w:rsidRPr="000A18FC">
        <w:t>Executive staff noted that of the 100 contracts</w:t>
      </w:r>
      <w:r w:rsidR="00D845DF">
        <w:t xml:space="preserve"> that the </w:t>
      </w:r>
      <w:r w:rsidR="00E858EB">
        <w:t>c</w:t>
      </w:r>
      <w:r w:rsidR="00D845DF">
        <w:t>ounty will administer</w:t>
      </w:r>
      <w:r w:rsidR="00E365BE" w:rsidRPr="000A18FC">
        <w:t xml:space="preserve">, there are approximately 15 contracts that may not </w:t>
      </w:r>
      <w:r w:rsidR="00F16951" w:rsidRPr="000A18FC">
        <w:t>be transitioned</w:t>
      </w:r>
      <w:r w:rsidR="00E365BE" w:rsidRPr="000A18FC">
        <w:t xml:space="preserve"> to the </w:t>
      </w:r>
      <w:r w:rsidR="00E858EB">
        <w:t>c</w:t>
      </w:r>
      <w:r w:rsidR="006F38B8" w:rsidRPr="000A18FC">
        <w:t>ounty,</w:t>
      </w:r>
      <w:r w:rsidR="00F16951" w:rsidRPr="000A18FC">
        <w:t xml:space="preserve"> and the review of contracts is </w:t>
      </w:r>
      <w:r w:rsidR="006F38B8">
        <w:t>ongoing</w:t>
      </w:r>
      <w:r w:rsidR="00F16951" w:rsidRPr="000A18FC">
        <w:t>.</w:t>
      </w:r>
    </w:p>
    <w:p w14:paraId="0A77ADD9" w14:textId="1CE018E3" w:rsidR="005B57E6" w:rsidRDefault="00741C90" w:rsidP="005B57E6">
      <w:pPr>
        <w:pStyle w:val="BodyText"/>
      </w:pPr>
      <w:r>
        <w:t>S</w:t>
      </w:r>
      <w:r w:rsidR="005B57E6">
        <w:t xml:space="preserve">eattle </w:t>
      </w:r>
      <w:r>
        <w:t>is planning similar program transitions and estimate that</w:t>
      </w:r>
      <w:r w:rsidR="005B57E6">
        <w:t xml:space="preserve"> 117 contracts, totaling $112.80 million, will be administered by their Human Services Department.</w:t>
      </w:r>
      <w:r w:rsidR="005B57E6">
        <w:rPr>
          <w:rStyle w:val="FootnoteReference"/>
        </w:rPr>
        <w:footnoteReference w:id="3"/>
      </w:r>
      <w:r w:rsidR="005B57E6">
        <w:t xml:space="preserve"> </w:t>
      </w:r>
      <w:r w:rsidR="005B57E6" w:rsidRPr="00741C90">
        <w:t>Executive staff noted</w:t>
      </w:r>
      <w:r w:rsidRPr="00741C90">
        <w:t xml:space="preserve"> that</w:t>
      </w:r>
      <w:r>
        <w:t xml:space="preserve"> in instances where</w:t>
      </w:r>
      <w:r w:rsidRPr="582CA4A9">
        <w:rPr>
          <w:rFonts w:ascii="Aptos" w:eastAsia="Aptos" w:hAnsi="Aptos" w:cs="Aptos"/>
        </w:rPr>
        <w:t xml:space="preserve"> King County and the City of Seattle both currently have funding in a given project </w:t>
      </w:r>
      <w:r w:rsidR="00F16951">
        <w:rPr>
          <w:rFonts w:ascii="Aptos" w:eastAsia="Aptos" w:hAnsi="Aptos" w:cs="Aptos"/>
        </w:rPr>
        <w:t>the funders</w:t>
      </w:r>
      <w:r w:rsidRPr="582CA4A9">
        <w:rPr>
          <w:rFonts w:ascii="Aptos" w:eastAsia="Aptos" w:hAnsi="Aptos" w:cs="Aptos"/>
        </w:rPr>
        <w:t xml:space="preserve"> are jointly considering if and how </w:t>
      </w:r>
      <w:r>
        <w:rPr>
          <w:rFonts w:ascii="Aptos" w:eastAsia="Aptos" w:hAnsi="Aptos" w:cs="Aptos"/>
        </w:rPr>
        <w:t>to</w:t>
      </w:r>
      <w:r w:rsidRPr="582CA4A9">
        <w:rPr>
          <w:rFonts w:ascii="Aptos" w:eastAsia="Aptos" w:hAnsi="Aptos" w:cs="Aptos"/>
        </w:rPr>
        <w:t xml:space="preserve"> limit the number of joint contracts, in the context of prior procurements, geographic </w:t>
      </w:r>
      <w:r>
        <w:rPr>
          <w:rFonts w:ascii="Aptos" w:eastAsia="Aptos" w:hAnsi="Aptos" w:cs="Aptos"/>
        </w:rPr>
        <w:t>and/or programmatic</w:t>
      </w:r>
      <w:r w:rsidRPr="582CA4A9">
        <w:rPr>
          <w:rFonts w:ascii="Aptos" w:eastAsia="Aptos" w:hAnsi="Aptos" w:cs="Aptos"/>
        </w:rPr>
        <w:t xml:space="preserve"> imperatives on some fund sources, etc.</w:t>
      </w:r>
    </w:p>
    <w:p w14:paraId="5FBE5385" w14:textId="5DB150B7" w:rsidR="007D3A8A" w:rsidRDefault="007D3A8A" w:rsidP="00E906C9">
      <w:pPr>
        <w:pStyle w:val="BodyText"/>
      </w:pPr>
      <w:r>
        <w:t>Of the 100 contracts that are anticipated to be trans</w:t>
      </w:r>
      <w:r w:rsidR="00F132F8">
        <w:t xml:space="preserve">itioned to the </w:t>
      </w:r>
      <w:r w:rsidR="00E858EB">
        <w:t>c</w:t>
      </w:r>
      <w:r w:rsidR="00F132F8">
        <w:t>ounty, there are 40 individual providers</w:t>
      </w:r>
      <w:r w:rsidR="000A18FC">
        <w:t xml:space="preserve">. Executive staff note that DCHS already contracts with 35 of these providers and the other five are </w:t>
      </w:r>
      <w:r w:rsidR="006F38B8">
        <w:t>registered</w:t>
      </w:r>
      <w:r w:rsidR="000A18FC">
        <w:t xml:space="preserve"> and active in the electronic contracting system. </w:t>
      </w:r>
      <w:r w:rsidR="00C25094">
        <w:t>Compared to DCHS's existing</w:t>
      </w:r>
      <w:r w:rsidR="00F00EBF">
        <w:t xml:space="preserve"> workload</w:t>
      </w:r>
      <w:r w:rsidR="00C25094">
        <w:t>, the new contracts represent</w:t>
      </w:r>
      <w:r w:rsidR="00F00EBF">
        <w:t xml:space="preserve"> approximately six percent</w:t>
      </w:r>
      <w:r w:rsidR="00C25094">
        <w:t xml:space="preserve"> of </w:t>
      </w:r>
      <w:r w:rsidR="00F00EBF">
        <w:t>the</w:t>
      </w:r>
      <w:r w:rsidR="00C25094">
        <w:t xml:space="preserve"> community grants and contracts that DCH</w:t>
      </w:r>
      <w:r w:rsidR="00F00EBF">
        <w:t>S managed in 2025.</w:t>
      </w:r>
    </w:p>
    <w:p w14:paraId="47655180" w14:textId="716E7FFC" w:rsidR="00C07AC5" w:rsidRPr="00C07AC5" w:rsidRDefault="00E73467" w:rsidP="00C07AC5">
      <w:pPr>
        <w:pStyle w:val="Heading4"/>
        <w:rPr>
          <w:vanish/>
          <w:specVanish/>
        </w:rPr>
      </w:pPr>
      <w:r>
        <w:t>Transition Steps</w:t>
      </w:r>
      <w:r w:rsidR="006F38B8">
        <w:t xml:space="preserve"> and Timeline</w:t>
      </w:r>
      <w:r w:rsidR="0079779F">
        <w:t>.</w:t>
      </w:r>
    </w:p>
    <w:p w14:paraId="07AA5C2B" w14:textId="0F9D43A6" w:rsidR="00E73467" w:rsidRDefault="00C07AC5" w:rsidP="00E906C9">
      <w:pPr>
        <w:pStyle w:val="BodyText"/>
      </w:pPr>
      <w:r>
        <w:t xml:space="preserve"> </w:t>
      </w:r>
      <w:r w:rsidR="0079779F">
        <w:t xml:space="preserve">The Plan provides a timeline and transition steps for the next six months leading up to the transition of </w:t>
      </w:r>
      <w:r w:rsidR="00E858EB">
        <w:t>c</w:t>
      </w:r>
      <w:r w:rsidR="0079779F">
        <w:t xml:space="preserve">ounty- and </w:t>
      </w:r>
      <w:r w:rsidR="00E858EB">
        <w:t>c</w:t>
      </w:r>
      <w:r w:rsidR="0079779F">
        <w:t>ity-funded contracts</w:t>
      </w:r>
      <w:r>
        <w:t xml:space="preserve"> back to the respective funder in January 2027.</w:t>
      </w:r>
    </w:p>
    <w:p w14:paraId="379E7AB2" w14:textId="7F5D6F44" w:rsidR="000F4312" w:rsidRDefault="00B07BE4" w:rsidP="00E906C9">
      <w:pPr>
        <w:pStyle w:val="BodyText"/>
      </w:pPr>
      <w:r>
        <w:t xml:space="preserve">The Plan also </w:t>
      </w:r>
      <w:r w:rsidR="000F4312">
        <w:t xml:space="preserve">discusses a combined King County and </w:t>
      </w:r>
      <w:r w:rsidR="00E858EB">
        <w:t xml:space="preserve">City of </w:t>
      </w:r>
      <w:r w:rsidR="000F4312">
        <w:t>Seattle Notice of Funding Opportunity (NOFA), which Executive staff noted will address contracts for outreach, shelter, transitional housing, and rapid re-housing. Most of these contracts have not been re-procured since the advent of KCRHA. The following additional information was provided by Executive staff regarding the NOFA:</w:t>
      </w:r>
    </w:p>
    <w:p w14:paraId="02656A8F" w14:textId="33F2E114" w:rsidR="00B07BE4" w:rsidRDefault="000F4312" w:rsidP="00F73C38">
      <w:pPr>
        <w:pStyle w:val="Quote"/>
      </w:pPr>
      <w:r>
        <w:t>"</w:t>
      </w:r>
      <w:r w:rsidRPr="000F4312">
        <w:t>The NOFA will be a joint expression of how King County and the City of Seattle intend to re-procure funds in the context of our regional homelessness emergency response.  It will present the framework for funding including what funds will be procured, program types and performance expectations, definitions, and system expectations (i.e., coordinated entry and HMIS).  The NOFA will also outline the timeline for the actual RFP(s) to be held in early 2028.  King County and the City of Seattle have a history of issuing joint NOFAs and this will leverage that history.  The new teams being stood up to manage the contracts will be working on the development of the NOFA and RFP(s).</w:t>
      </w:r>
      <w:r>
        <w:t>"</w:t>
      </w:r>
    </w:p>
    <w:p w14:paraId="2928AEFB" w14:textId="2BE5D27C" w:rsidR="00E73467" w:rsidRPr="00F73C38" w:rsidRDefault="00E73467" w:rsidP="00F73C38">
      <w:pPr>
        <w:pStyle w:val="Heading4"/>
        <w:rPr>
          <w:vanish/>
          <w:specVanish/>
        </w:rPr>
      </w:pPr>
      <w:r w:rsidRPr="00856E59">
        <w:lastRenderedPageBreak/>
        <w:t>County Readiness</w:t>
      </w:r>
      <w:r w:rsidR="00F73C38">
        <w:t>.</w:t>
      </w:r>
    </w:p>
    <w:p w14:paraId="5603D809" w14:textId="50FC3AF3" w:rsidR="00F73C38" w:rsidRPr="00856E59" w:rsidRDefault="00F73C38" w:rsidP="00E906C9">
      <w:pPr>
        <w:pStyle w:val="BodyText"/>
      </w:pPr>
      <w:r>
        <w:t xml:space="preserve"> An assessment of HCD's readiness to administer </w:t>
      </w:r>
      <w:r w:rsidR="001600DC">
        <w:t xml:space="preserve">the homelessness response contracts and programs was included in the Plan. In addition to noting progress towards addressing DCHS's audit recommendations and history administering these same contracts in the past, the Plan provides a </w:t>
      </w:r>
      <w:r w:rsidR="00D85724">
        <w:t xml:space="preserve">headcount projection. HCD anticipates hiring </w:t>
      </w:r>
      <w:r w:rsidR="00130546">
        <w:t>10</w:t>
      </w:r>
      <w:r w:rsidR="00D85724">
        <w:t xml:space="preserve"> full-time equivalent employees (FTEs) with an ongoing cost of $4 million per biennium. </w:t>
      </w:r>
      <w:r w:rsidR="000E54A1">
        <w:t>A review of revenue source is ongoing and f</w:t>
      </w:r>
      <w:r w:rsidR="00D85724">
        <w:t xml:space="preserve">unding to support the positions will be identified in the mid-biennial omnibus. To support the hiring process, a term-limited temporary (TLT) position, a human resource analyst, has already been hired and is not included in the ongoing cost estimate. </w:t>
      </w:r>
      <w:r w:rsidR="000E54A1">
        <w:t xml:space="preserve">The Plan notes that three FTE positions are expected to start in September and the other seven will be staggered through December 2026. </w:t>
      </w:r>
      <w:r w:rsidR="00D85724">
        <w:t xml:space="preserve">HCD anticipates existing positions will </w:t>
      </w:r>
      <w:r w:rsidR="000E54A1">
        <w:t xml:space="preserve">also </w:t>
      </w:r>
      <w:r w:rsidR="00D85724">
        <w:t>support the transition efforts and have increased workloads</w:t>
      </w:r>
      <w:r w:rsidR="00C25094">
        <w:t>.</w:t>
      </w:r>
    </w:p>
    <w:p w14:paraId="725F56BC" w14:textId="7D0F5406" w:rsidR="00F00EBF" w:rsidRPr="00F00EBF" w:rsidRDefault="00E73467" w:rsidP="00F00EBF">
      <w:pPr>
        <w:pStyle w:val="Heading4"/>
        <w:rPr>
          <w:vanish/>
          <w:u w:val="none"/>
          <w:specVanish/>
        </w:rPr>
      </w:pPr>
      <w:r w:rsidRPr="00856E59">
        <w:t>Financial Risks</w:t>
      </w:r>
      <w:r w:rsidR="00F00EBF">
        <w:t>.</w:t>
      </w:r>
    </w:p>
    <w:p w14:paraId="1B5A41A3" w14:textId="5EED6E70" w:rsidR="00E73467" w:rsidRDefault="00F00EBF" w:rsidP="00E906C9">
      <w:pPr>
        <w:pStyle w:val="BodyText"/>
      </w:pPr>
      <w:r w:rsidRPr="00F00EBF">
        <w:t xml:space="preserve"> </w:t>
      </w:r>
      <w:r w:rsidR="005C5598">
        <w:t xml:space="preserve">The </w:t>
      </w:r>
      <w:r w:rsidR="00F4073F">
        <w:t xml:space="preserve">Plan notes that the </w:t>
      </w:r>
      <w:r w:rsidR="005C5598">
        <w:t>extension of</w:t>
      </w:r>
      <w:r w:rsidR="00855E6F">
        <w:t xml:space="preserve"> providers' 2026 contracts through 2027 </w:t>
      </w:r>
      <w:r w:rsidR="005C5598">
        <w:t>is intended to</w:t>
      </w:r>
      <w:r w:rsidR="00855E6F">
        <w:t xml:space="preserve"> prevent disruption of </w:t>
      </w:r>
      <w:r w:rsidR="005C5598">
        <w:t xml:space="preserve">homelessness </w:t>
      </w:r>
      <w:r w:rsidR="00855E6F">
        <w:t>services</w:t>
      </w:r>
      <w:r w:rsidR="005C5598">
        <w:t>; however, risks related to administrative errors and increased administrative funding are identified</w:t>
      </w:r>
      <w:r w:rsidR="00F4073F">
        <w:t xml:space="preserve">. </w:t>
      </w:r>
      <w:r w:rsidR="005818EC">
        <w:t>According to Executive staff,</w:t>
      </w:r>
      <w:r w:rsidR="00F4073F">
        <w:t xml:space="preserve"> there is limited financial</w:t>
      </w:r>
      <w:r w:rsidR="005818EC">
        <w:t xml:space="preserve"> risk </w:t>
      </w:r>
      <w:r w:rsidR="00F4073F">
        <w:t xml:space="preserve">to extending </w:t>
      </w:r>
      <w:r w:rsidR="005818EC">
        <w:t>providers'</w:t>
      </w:r>
      <w:r w:rsidR="00F4073F">
        <w:t xml:space="preserve"> contracts through 2027</w:t>
      </w:r>
      <w:r w:rsidR="005818EC">
        <w:t xml:space="preserve"> with regard to </w:t>
      </w:r>
      <w:r w:rsidR="00130546">
        <w:t>c</w:t>
      </w:r>
      <w:r w:rsidR="005818EC">
        <w:t>ounty funding since the funding is from federal or state sources for homelessness emergency response, most of which are available through 2027. It was also noted that contract language notes that the contracts are contingent on continued funding availability.</w:t>
      </w:r>
    </w:p>
    <w:p w14:paraId="313200F3" w14:textId="77777777" w:rsidR="00F00EBF" w:rsidRPr="00F00EBF" w:rsidRDefault="00F00EBF" w:rsidP="00F00EBF">
      <w:pPr>
        <w:pStyle w:val="Heading4"/>
        <w:rPr>
          <w:vanish/>
          <w:specVanish/>
        </w:rPr>
      </w:pPr>
      <w:r>
        <w:t>Interested Party Engagement.</w:t>
      </w:r>
      <w:r w:rsidRPr="00F00EBF">
        <w:rPr>
          <w:u w:val="none"/>
        </w:rPr>
        <w:t xml:space="preserve"> </w:t>
      </w:r>
    </w:p>
    <w:p w14:paraId="1EDF2AF8" w14:textId="55B2BA65" w:rsidR="00C25094" w:rsidRDefault="00C25094" w:rsidP="00E906C9">
      <w:pPr>
        <w:pStyle w:val="BodyText"/>
      </w:pPr>
      <w:r w:rsidRPr="00C25094">
        <w:t>Executive staff noted that in addition to collaboration between King County and the City of Seattle to develop the KCRHA Contract Transition Plan, the Executive's Office and the Mayor's Office shared information and obtained feedback from the Seattle/King County Coalition on Homelessness, KCRHA leadership, KCRHA Governing Board members, and labor unions representing KCRHA employees and homeless service provider employees.</w:t>
      </w:r>
    </w:p>
    <w:p w14:paraId="688FBAEC" w14:textId="0DF42E1C" w:rsidR="00F00EBF" w:rsidRPr="00856E59" w:rsidRDefault="00F00EBF" w:rsidP="00E906C9">
      <w:pPr>
        <w:pStyle w:val="BodyText"/>
      </w:pPr>
      <w:r>
        <w:t xml:space="preserve">The Plan outlines a plan to facilitate Regional Reset Conversations with </w:t>
      </w:r>
      <w:r w:rsidRPr="00F00EBF">
        <w:t>providers, labor and business, philanthropic representatives, individuals with lived experience, and advocacy organizations</w:t>
      </w:r>
      <w:r w:rsidR="00855E6F">
        <w:t xml:space="preserve">. These convenings are expected to take place in 2026 through the first quarter of 2027 and are planned to discuss the future of regional homeless service delivery. </w:t>
      </w:r>
    </w:p>
    <w:p w14:paraId="094080FE" w14:textId="33273215" w:rsidR="00E906C9" w:rsidRPr="00E906C9" w:rsidRDefault="00E906C9" w:rsidP="00E906C9">
      <w:pPr>
        <w:pStyle w:val="Heading3"/>
        <w:rPr>
          <w:vanish/>
          <w:specVanish/>
        </w:rPr>
      </w:pPr>
      <w:r>
        <w:t>Responses to Motion 16970.</w:t>
      </w:r>
    </w:p>
    <w:p w14:paraId="0AA14F24" w14:textId="7EBE636E" w:rsidR="00E906C9" w:rsidRDefault="00E906C9" w:rsidP="00E906C9">
      <w:pPr>
        <w:pStyle w:val="BodyText"/>
      </w:pPr>
      <w:r>
        <w:t xml:space="preserve"> The proposed motion include</w:t>
      </w:r>
      <w:r w:rsidR="008615E4">
        <w:t>s</w:t>
      </w:r>
      <w:r w:rsidR="009618F1">
        <w:t xml:space="preserve"> </w:t>
      </w:r>
      <w:r w:rsidR="008615E4">
        <w:t xml:space="preserve">Attachment B, </w:t>
      </w:r>
      <w:r w:rsidR="009618F1">
        <w:t>a table with each of the requested components from Motion 16970</w:t>
      </w:r>
      <w:r w:rsidR="008615E4">
        <w:t xml:space="preserve"> and a response from the Executive.</w:t>
      </w:r>
      <w:r w:rsidR="00D845DF">
        <w:t xml:space="preserve"> </w:t>
      </w:r>
      <w:r w:rsidR="008615E4">
        <w:t>Many of the responses are contingent on the Regional Reset Conversations</w:t>
      </w:r>
      <w:r w:rsidR="00F00EBF">
        <w:t>, outlined in the Contract Transition Plan</w:t>
      </w:r>
      <w:r w:rsidR="00855E6F">
        <w:t>.</w:t>
      </w:r>
    </w:p>
    <w:p w14:paraId="4E753C95" w14:textId="4759563D" w:rsidR="00C30BEF" w:rsidRPr="00CC7C0B" w:rsidRDefault="00192F79" w:rsidP="00CC7C0B">
      <w:pPr>
        <w:pStyle w:val="Heading3"/>
        <w:rPr>
          <w:vanish/>
          <w:specVanish/>
        </w:rPr>
      </w:pPr>
      <w:bookmarkStart w:id="1" w:name="Key_Issue_A"/>
      <w:r w:rsidRPr="00912E40">
        <w:lastRenderedPageBreak/>
        <w:t xml:space="preserve">Key Issue A. </w:t>
      </w:r>
      <w:r w:rsidR="00E906C9">
        <w:t>Compliance with Motion 16970</w:t>
      </w:r>
      <w:r w:rsidRPr="00912E40">
        <w:t>.</w:t>
      </w:r>
      <w:r w:rsidR="00C30BEF">
        <w:t xml:space="preserve"> </w:t>
      </w:r>
      <w:bookmarkEnd w:id="1"/>
    </w:p>
    <w:p w14:paraId="7C4D6054" w14:textId="553B828F" w:rsidR="00AF6843" w:rsidRDefault="00CC7C0B" w:rsidP="00C7530F">
      <w:pPr>
        <w:pStyle w:val="BodyText"/>
      </w:pPr>
      <w:r>
        <w:t xml:space="preserve"> </w:t>
      </w:r>
      <w:r w:rsidR="00C30BEF">
        <w:t xml:space="preserve">Attachment B to the proposed motion appears to </w:t>
      </w:r>
      <w:r w:rsidR="009C1302">
        <w:t>acknowledge</w:t>
      </w:r>
      <w:r w:rsidR="00C30BEF">
        <w:t xml:space="preserve"> each of the items requested </w:t>
      </w:r>
      <w:r w:rsidR="00E86119">
        <w:t xml:space="preserve">by Motion 16970, </w:t>
      </w:r>
      <w:r w:rsidR="00C30BEF">
        <w:t xml:space="preserve">but the </w:t>
      </w:r>
      <w:r w:rsidR="009C1302">
        <w:t xml:space="preserve">information provided does not appear to </w:t>
      </w:r>
      <w:r w:rsidR="00AF6843">
        <w:t>fully address requirements of the</w:t>
      </w:r>
      <w:r w:rsidR="009C1302">
        <w:t xml:space="preserve"> motion. </w:t>
      </w:r>
      <w:r w:rsidR="00AF6843">
        <w:t>According to Attachment B, t</w:t>
      </w:r>
      <w:r w:rsidR="009C1302">
        <w:t xml:space="preserve">he following items </w:t>
      </w:r>
      <w:r w:rsidR="00AF6843">
        <w:t>will</w:t>
      </w:r>
      <w:r w:rsidR="000E54A1">
        <w:t xml:space="preserve"> continue to</w:t>
      </w:r>
      <w:r w:rsidR="00AF6843">
        <w:t xml:space="preserve"> be developed based on the Regional Reset Conversations: </w:t>
      </w:r>
    </w:p>
    <w:p w14:paraId="178B7DE2" w14:textId="49CE6B7B" w:rsidR="00AF6843" w:rsidRDefault="00AF6843" w:rsidP="00AF6843">
      <w:pPr>
        <w:pStyle w:val="BodyText"/>
        <w:numPr>
          <w:ilvl w:val="0"/>
          <w:numId w:val="31"/>
        </w:numPr>
      </w:pPr>
      <w:r>
        <w:t xml:space="preserve">A </w:t>
      </w:r>
      <w:r w:rsidR="00E73467">
        <w:t>decision framework</w:t>
      </w:r>
      <w:r w:rsidR="00856E59">
        <w:t xml:space="preserve"> including criteria for evaluation</w:t>
      </w:r>
      <w:r>
        <w:t>;</w:t>
      </w:r>
      <w:r w:rsidR="00856E59">
        <w:t xml:space="preserve"> </w:t>
      </w:r>
    </w:p>
    <w:p w14:paraId="22EE2893" w14:textId="01F879EB" w:rsidR="00AF6843" w:rsidRDefault="006F38B8" w:rsidP="00AF6843">
      <w:pPr>
        <w:pStyle w:val="BodyText"/>
        <w:numPr>
          <w:ilvl w:val="0"/>
          <w:numId w:val="31"/>
        </w:numPr>
      </w:pPr>
      <w:r>
        <w:t>Service delivery and system p</w:t>
      </w:r>
      <w:r w:rsidR="00856E59">
        <w:t>erformance metrics</w:t>
      </w:r>
      <w:r w:rsidR="00AF6843">
        <w:t>;</w:t>
      </w:r>
    </w:p>
    <w:p w14:paraId="4AE44621" w14:textId="718E43C0" w:rsidR="00AF6843" w:rsidRDefault="00AF6843" w:rsidP="00AF6843">
      <w:pPr>
        <w:pStyle w:val="BodyText"/>
        <w:numPr>
          <w:ilvl w:val="0"/>
          <w:numId w:val="31"/>
        </w:numPr>
      </w:pPr>
      <w:r>
        <w:t>R</w:t>
      </w:r>
      <w:r w:rsidR="00856E59">
        <w:t>isks and tradeoffs</w:t>
      </w:r>
      <w:r>
        <w:t>;</w:t>
      </w:r>
    </w:p>
    <w:p w14:paraId="232CF182" w14:textId="4D32E522" w:rsidR="00AF6843" w:rsidRDefault="00AF6843" w:rsidP="00AF6843">
      <w:pPr>
        <w:pStyle w:val="BodyText"/>
        <w:numPr>
          <w:ilvl w:val="0"/>
          <w:numId w:val="31"/>
        </w:numPr>
      </w:pPr>
      <w:r>
        <w:t>A</w:t>
      </w:r>
      <w:r w:rsidR="00856E59">
        <w:t xml:space="preserve"> long-term timeline</w:t>
      </w:r>
      <w:r>
        <w:t>;</w:t>
      </w:r>
      <w:r w:rsidR="00856E59">
        <w:t xml:space="preserve"> </w:t>
      </w:r>
      <w:r>
        <w:t xml:space="preserve">and </w:t>
      </w:r>
    </w:p>
    <w:p w14:paraId="4C3D21FF" w14:textId="017B8C29" w:rsidR="009C1302" w:rsidRDefault="00AF6843" w:rsidP="00AF6843">
      <w:pPr>
        <w:pStyle w:val="BodyText"/>
        <w:numPr>
          <w:ilvl w:val="0"/>
          <w:numId w:val="31"/>
        </w:numPr>
      </w:pPr>
      <w:r>
        <w:t>O</w:t>
      </w:r>
      <w:r w:rsidR="00856E59">
        <w:t>ther considerations the Council should take</w:t>
      </w:r>
      <w:r w:rsidR="006F38B8">
        <w:t xml:space="preserve"> into account</w:t>
      </w:r>
      <w:r>
        <w:t>.</w:t>
      </w:r>
    </w:p>
    <w:p w14:paraId="668CCA6C" w14:textId="4BC881B8" w:rsidR="00E906C9" w:rsidRPr="00E906C9" w:rsidRDefault="0079779F" w:rsidP="00C7530F">
      <w:pPr>
        <w:pStyle w:val="BodyText"/>
      </w:pPr>
      <w:r>
        <w:t xml:space="preserve">Executive staff noted that it is likely a report will be developed to capture the results of the Regional Reset Conversations, which would be shared with the Council. </w:t>
      </w:r>
      <w:r w:rsidR="00C30BEF">
        <w:t>It is a policy choice whether to accept the Contract Transition Plan and Responses to Motion 16970 or to amend the proposed motion to request another transmittal</w:t>
      </w:r>
      <w:r w:rsidR="00AF6843">
        <w:t>.</w:t>
      </w:r>
    </w:p>
    <w:p w14:paraId="3778C3C0" w14:textId="77777777" w:rsidR="00192F79" w:rsidRPr="00192F79" w:rsidRDefault="00192F79" w:rsidP="003400B1">
      <w:pPr>
        <w:pStyle w:val="Heading2"/>
      </w:pPr>
      <w:r w:rsidRPr="00192F79">
        <w:t>INVITED</w:t>
      </w:r>
    </w:p>
    <w:p w14:paraId="7F0F7595" w14:textId="124276B6" w:rsidR="0099606D" w:rsidRDefault="0099606D" w:rsidP="0099606D">
      <w:pPr>
        <w:pStyle w:val="BulletedList"/>
      </w:pPr>
      <w:r>
        <w:t xml:space="preserve">Hyeok Kim, </w:t>
      </w:r>
      <w:r w:rsidRPr="0099606D">
        <w:t>Chief Operating Officer, Office of the Executive</w:t>
      </w:r>
    </w:p>
    <w:p w14:paraId="638FA6D9" w14:textId="2600ADB5" w:rsidR="0099606D" w:rsidRDefault="0099606D" w:rsidP="005C2B98">
      <w:pPr>
        <w:pStyle w:val="BulletedList"/>
      </w:pPr>
      <w:r>
        <w:t>Aaron Rubart,</w:t>
      </w:r>
      <w:r w:rsidRPr="0099606D">
        <w:t xml:space="preserve"> Chief Budget Officer, King County Executive’s Office</w:t>
      </w:r>
    </w:p>
    <w:p w14:paraId="7615F86A" w14:textId="68262291" w:rsidR="0099606D" w:rsidRDefault="0099606D" w:rsidP="005C2B98">
      <w:pPr>
        <w:pStyle w:val="BulletedList"/>
      </w:pPr>
      <w:r>
        <w:t>Jelani Jackson, Division Director, Housing and Community Development Division, Department of Community and Human Services</w:t>
      </w:r>
    </w:p>
    <w:p w14:paraId="17A6D419" w14:textId="5F283EDE" w:rsidR="0099606D" w:rsidRDefault="0099606D" w:rsidP="005C2B98">
      <w:pPr>
        <w:pStyle w:val="BulletedList"/>
      </w:pPr>
      <w:r>
        <w:t>Wendy Soo Hoo,</w:t>
      </w:r>
      <w:r w:rsidRPr="0099606D">
        <w:t xml:space="preserve"> Special Adviser to the Chief Operating Officer, King County Executive’s Office</w:t>
      </w:r>
    </w:p>
    <w:p w14:paraId="1F354572" w14:textId="77777777" w:rsidR="00192F79" w:rsidRPr="00192F79" w:rsidRDefault="00192F79" w:rsidP="003400B1">
      <w:pPr>
        <w:pStyle w:val="Heading2"/>
      </w:pPr>
      <w:bookmarkStart w:id="2" w:name="_ATTACHMENTS"/>
      <w:bookmarkEnd w:id="2"/>
      <w:r w:rsidRPr="00192F79">
        <w:t>ATTACHMENTS</w:t>
      </w:r>
    </w:p>
    <w:p w14:paraId="59B5E38E" w14:textId="01441B53" w:rsidR="00192F79" w:rsidRPr="00420055" w:rsidRDefault="00192F79" w:rsidP="00420055">
      <w:pPr>
        <w:pStyle w:val="NumberedList"/>
      </w:pPr>
      <w:r w:rsidRPr="00420055">
        <w:t>Proposed Motion 2026-</w:t>
      </w:r>
      <w:r w:rsidR="00A519B0">
        <w:t>0207</w:t>
      </w:r>
      <w:r w:rsidRPr="00420055">
        <w:t xml:space="preserve"> (and its attachment</w:t>
      </w:r>
      <w:r w:rsidR="00A519B0">
        <w:t>s</w:t>
      </w:r>
      <w:r w:rsidRPr="00420055">
        <w:t>)</w:t>
      </w:r>
    </w:p>
    <w:p w14:paraId="0B865183" w14:textId="6EB54AEC" w:rsidR="00192F79" w:rsidRDefault="00192F79" w:rsidP="00B612CF">
      <w:pPr>
        <w:pStyle w:val="NumberedList"/>
      </w:pPr>
      <w:r w:rsidRPr="00420055">
        <w:t>Transmittal Letter</w:t>
      </w:r>
    </w:p>
    <w:p w14:paraId="6B89A675" w14:textId="14F19C4D" w:rsidR="00F56307" w:rsidRPr="00420055" w:rsidRDefault="00F56307" w:rsidP="00A519B0">
      <w:pPr>
        <w:pStyle w:val="NumberedList"/>
      </w:pPr>
      <w:r>
        <w:t>KCRHA and Funder Correspondence and Updates</w:t>
      </w:r>
    </w:p>
    <w:sectPr w:rsidR="00F56307" w:rsidRPr="00420055" w:rsidSect="002C2AC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927E4" w14:textId="77777777" w:rsidR="00512383" w:rsidRDefault="00512383" w:rsidP="00D700B6">
      <w:pPr>
        <w:spacing w:line="240" w:lineRule="auto"/>
      </w:pPr>
      <w:r>
        <w:separator/>
      </w:r>
    </w:p>
  </w:endnote>
  <w:endnote w:type="continuationSeparator" w:id="0">
    <w:p w14:paraId="0A72A720" w14:textId="77777777" w:rsidR="00512383" w:rsidRDefault="00512383"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B43B1" w14:textId="77777777" w:rsidR="00512383" w:rsidRDefault="00512383" w:rsidP="00D700B6">
      <w:pPr>
        <w:spacing w:line="240" w:lineRule="auto"/>
      </w:pPr>
      <w:r>
        <w:separator/>
      </w:r>
    </w:p>
  </w:footnote>
  <w:footnote w:type="continuationSeparator" w:id="0">
    <w:p w14:paraId="3CF4B3B5" w14:textId="77777777" w:rsidR="00512383" w:rsidRDefault="00512383" w:rsidP="00D700B6">
      <w:pPr>
        <w:spacing w:line="240" w:lineRule="auto"/>
      </w:pPr>
      <w:r>
        <w:continuationSeparator/>
      </w:r>
    </w:p>
  </w:footnote>
  <w:footnote w:id="1">
    <w:p w14:paraId="634C36DD" w14:textId="6B170E48" w:rsidR="00773A93" w:rsidRDefault="00773A93">
      <w:pPr>
        <w:pStyle w:val="FootnoteText"/>
      </w:pPr>
      <w:r>
        <w:rPr>
          <w:rStyle w:val="FootnoteReference"/>
        </w:rPr>
        <w:footnoteRef/>
      </w:r>
      <w:r>
        <w:t xml:space="preserve"> Motion 16970. </w:t>
      </w:r>
      <w:hyperlink r:id="rId1" w:history="1">
        <w:r w:rsidRPr="00692B01">
          <w:rPr>
            <w:rStyle w:val="Hyperlink"/>
          </w:rPr>
          <w:t>https://mkcclegisearch.kingcounty.gov/LegislationDetail.aspx?ID=7998691&amp;GUID=D68E3CE9-550D-457A-93E8-7B2C41DF6361&amp;Options=Advanced&amp;Search=</w:t>
        </w:r>
      </w:hyperlink>
      <w:r>
        <w:t xml:space="preserve"> </w:t>
      </w:r>
    </w:p>
  </w:footnote>
  <w:footnote w:id="2">
    <w:p w14:paraId="17B8E24E" w14:textId="77777777" w:rsidR="007E5873" w:rsidRDefault="007E5873" w:rsidP="007E5873">
      <w:pPr>
        <w:pStyle w:val="FootnoteText"/>
      </w:pPr>
      <w:r>
        <w:rPr>
          <w:rStyle w:val="FootnoteReference"/>
        </w:rPr>
        <w:footnoteRef/>
      </w:r>
      <w:r>
        <w:t xml:space="preserve"> Committee of the Whole Briefing, May 8, 2026. </w:t>
      </w:r>
      <w:hyperlink r:id="rId2" w:history="1">
        <w:r w:rsidRPr="00692B01">
          <w:rPr>
            <w:rStyle w:val="Hyperlink"/>
          </w:rPr>
          <w:t>https://mkcclegisearch.kingcounty.gov/LegislationDetail.aspx?ID=7782280&amp;GUID=DC7DFAA7-E1C1-4472-A89D-D9B6EE92F932&amp;Options=Advanced&amp;Search=</w:t>
        </w:r>
      </w:hyperlink>
      <w:r>
        <w:t xml:space="preserve"> </w:t>
      </w:r>
    </w:p>
  </w:footnote>
  <w:footnote w:id="3">
    <w:p w14:paraId="0948C113" w14:textId="77777777" w:rsidR="005B57E6" w:rsidRDefault="005B57E6" w:rsidP="005B57E6">
      <w:pPr>
        <w:pStyle w:val="FootnoteText"/>
      </w:pPr>
      <w:r>
        <w:rPr>
          <w:rStyle w:val="FootnoteReference"/>
        </w:rPr>
        <w:footnoteRef/>
      </w:r>
      <w:r>
        <w:t xml:space="preserve"> City of Seattle Response to Resolution 32202, Contracts Transition Plan, July 31, 2026. </w:t>
      </w:r>
      <w:hyperlink r:id="rId3" w:history="1">
        <w:r w:rsidRPr="000563FA">
          <w:rPr>
            <w:rStyle w:val="Hyperlink"/>
          </w:rPr>
          <w:t>https://kcrha.org/wp-content/uploads/2026/08/City-of-Seattle_KCRHA_Contract_Transition_Plan_07312026.pdf</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77F89"/>
    <w:multiLevelType w:val="hybridMultilevel"/>
    <w:tmpl w:val="F078C4B8"/>
    <w:lvl w:ilvl="0" w:tplc="045C89E0">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EE175D"/>
    <w:multiLevelType w:val="hybridMultilevel"/>
    <w:tmpl w:val="E81E4496"/>
    <w:lvl w:ilvl="0" w:tplc="045C89E0">
      <w:numFmt w:val="bullet"/>
      <w:lvlText w:val="•"/>
      <w:lvlJc w:val="left"/>
      <w:pPr>
        <w:ind w:left="1440" w:hanging="720"/>
      </w:pPr>
      <w:rPr>
        <w:rFonts w:ascii="Aptos" w:eastAsiaTheme="minorHAnsi" w:hAnsi="Apto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6" w15:restartNumberingAfterBreak="0">
    <w:nsid w:val="16322818"/>
    <w:multiLevelType w:val="hybridMultilevel"/>
    <w:tmpl w:val="E0D4D7E0"/>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193B111E"/>
    <w:multiLevelType w:val="hybridMultilevel"/>
    <w:tmpl w:val="A2F050F0"/>
    <w:lvl w:ilvl="0" w:tplc="91BAF30A">
      <w:start w:val="1"/>
      <w:numFmt w:val="bullet"/>
      <w:lvlText w:val=""/>
      <w:lvlJc w:val="left"/>
      <w:pPr>
        <w:ind w:left="1440" w:hanging="360"/>
      </w:pPr>
      <w:rPr>
        <w:rFonts w:ascii="Symbol" w:hAnsi="Symbol"/>
      </w:rPr>
    </w:lvl>
    <w:lvl w:ilvl="1" w:tplc="46F22F78">
      <w:start w:val="1"/>
      <w:numFmt w:val="bullet"/>
      <w:lvlText w:val=""/>
      <w:lvlJc w:val="left"/>
      <w:pPr>
        <w:ind w:left="1440" w:hanging="360"/>
      </w:pPr>
      <w:rPr>
        <w:rFonts w:ascii="Symbol" w:hAnsi="Symbol"/>
      </w:rPr>
    </w:lvl>
    <w:lvl w:ilvl="2" w:tplc="6D1081C0">
      <w:start w:val="1"/>
      <w:numFmt w:val="bullet"/>
      <w:lvlText w:val=""/>
      <w:lvlJc w:val="left"/>
      <w:pPr>
        <w:ind w:left="1440" w:hanging="360"/>
      </w:pPr>
      <w:rPr>
        <w:rFonts w:ascii="Symbol" w:hAnsi="Symbol"/>
      </w:rPr>
    </w:lvl>
    <w:lvl w:ilvl="3" w:tplc="0266609C">
      <w:start w:val="1"/>
      <w:numFmt w:val="bullet"/>
      <w:lvlText w:val=""/>
      <w:lvlJc w:val="left"/>
      <w:pPr>
        <w:ind w:left="1440" w:hanging="360"/>
      </w:pPr>
      <w:rPr>
        <w:rFonts w:ascii="Symbol" w:hAnsi="Symbol"/>
      </w:rPr>
    </w:lvl>
    <w:lvl w:ilvl="4" w:tplc="9DAEAF3A">
      <w:start w:val="1"/>
      <w:numFmt w:val="bullet"/>
      <w:lvlText w:val=""/>
      <w:lvlJc w:val="left"/>
      <w:pPr>
        <w:ind w:left="1440" w:hanging="360"/>
      </w:pPr>
      <w:rPr>
        <w:rFonts w:ascii="Symbol" w:hAnsi="Symbol"/>
      </w:rPr>
    </w:lvl>
    <w:lvl w:ilvl="5" w:tplc="EC286B4C">
      <w:start w:val="1"/>
      <w:numFmt w:val="bullet"/>
      <w:lvlText w:val=""/>
      <w:lvlJc w:val="left"/>
      <w:pPr>
        <w:ind w:left="1440" w:hanging="360"/>
      </w:pPr>
      <w:rPr>
        <w:rFonts w:ascii="Symbol" w:hAnsi="Symbol"/>
      </w:rPr>
    </w:lvl>
    <w:lvl w:ilvl="6" w:tplc="D548CED2">
      <w:start w:val="1"/>
      <w:numFmt w:val="bullet"/>
      <w:lvlText w:val=""/>
      <w:lvlJc w:val="left"/>
      <w:pPr>
        <w:ind w:left="1440" w:hanging="360"/>
      </w:pPr>
      <w:rPr>
        <w:rFonts w:ascii="Symbol" w:hAnsi="Symbol"/>
      </w:rPr>
    </w:lvl>
    <w:lvl w:ilvl="7" w:tplc="D736C9DE">
      <w:start w:val="1"/>
      <w:numFmt w:val="bullet"/>
      <w:lvlText w:val=""/>
      <w:lvlJc w:val="left"/>
      <w:pPr>
        <w:ind w:left="1440" w:hanging="360"/>
      </w:pPr>
      <w:rPr>
        <w:rFonts w:ascii="Symbol" w:hAnsi="Symbol"/>
      </w:rPr>
    </w:lvl>
    <w:lvl w:ilvl="8" w:tplc="D80CED8E">
      <w:start w:val="1"/>
      <w:numFmt w:val="bullet"/>
      <w:lvlText w:val=""/>
      <w:lvlJc w:val="left"/>
      <w:pPr>
        <w:ind w:left="1440" w:hanging="360"/>
      </w:pPr>
      <w:rPr>
        <w:rFonts w:ascii="Symbol" w:hAnsi="Symbol"/>
      </w:rPr>
    </w:lvl>
  </w:abstractNum>
  <w:abstractNum w:abstractNumId="8" w15:restartNumberingAfterBreak="0">
    <w:nsid w:val="2232229A"/>
    <w:multiLevelType w:val="hybridMultilevel"/>
    <w:tmpl w:val="3474C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DB6667"/>
    <w:multiLevelType w:val="hybridMultilevel"/>
    <w:tmpl w:val="78363C1A"/>
    <w:lvl w:ilvl="0" w:tplc="045C89E0">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822DAE"/>
    <w:multiLevelType w:val="hybridMultilevel"/>
    <w:tmpl w:val="7C3A5B10"/>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AF5917"/>
    <w:multiLevelType w:val="hybridMultilevel"/>
    <w:tmpl w:val="34A88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4" w15:restartNumberingAfterBreak="0">
    <w:nsid w:val="482D3982"/>
    <w:multiLevelType w:val="hybridMultilevel"/>
    <w:tmpl w:val="4B5C5F62"/>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5C18EB"/>
    <w:multiLevelType w:val="hybridMultilevel"/>
    <w:tmpl w:val="35B0FB1C"/>
    <w:lvl w:ilvl="0" w:tplc="1B002046">
      <w:start w:val="1"/>
      <w:numFmt w:val="bullet"/>
      <w:lvlText w:val=""/>
      <w:lvlJc w:val="left"/>
      <w:pPr>
        <w:ind w:left="1440" w:hanging="360"/>
      </w:pPr>
      <w:rPr>
        <w:rFonts w:ascii="Symbol" w:hAnsi="Symbol"/>
      </w:rPr>
    </w:lvl>
    <w:lvl w:ilvl="1" w:tplc="8CAC03FC">
      <w:start w:val="1"/>
      <w:numFmt w:val="bullet"/>
      <w:lvlText w:val=""/>
      <w:lvlJc w:val="left"/>
      <w:pPr>
        <w:ind w:left="1440" w:hanging="360"/>
      </w:pPr>
      <w:rPr>
        <w:rFonts w:ascii="Symbol" w:hAnsi="Symbol"/>
      </w:rPr>
    </w:lvl>
    <w:lvl w:ilvl="2" w:tplc="3D485F54">
      <w:start w:val="1"/>
      <w:numFmt w:val="bullet"/>
      <w:lvlText w:val=""/>
      <w:lvlJc w:val="left"/>
      <w:pPr>
        <w:ind w:left="1440" w:hanging="360"/>
      </w:pPr>
      <w:rPr>
        <w:rFonts w:ascii="Symbol" w:hAnsi="Symbol"/>
      </w:rPr>
    </w:lvl>
    <w:lvl w:ilvl="3" w:tplc="6F162BE0">
      <w:start w:val="1"/>
      <w:numFmt w:val="bullet"/>
      <w:lvlText w:val=""/>
      <w:lvlJc w:val="left"/>
      <w:pPr>
        <w:ind w:left="1440" w:hanging="360"/>
      </w:pPr>
      <w:rPr>
        <w:rFonts w:ascii="Symbol" w:hAnsi="Symbol"/>
      </w:rPr>
    </w:lvl>
    <w:lvl w:ilvl="4" w:tplc="81703DA0">
      <w:start w:val="1"/>
      <w:numFmt w:val="bullet"/>
      <w:lvlText w:val=""/>
      <w:lvlJc w:val="left"/>
      <w:pPr>
        <w:ind w:left="1440" w:hanging="360"/>
      </w:pPr>
      <w:rPr>
        <w:rFonts w:ascii="Symbol" w:hAnsi="Symbol"/>
      </w:rPr>
    </w:lvl>
    <w:lvl w:ilvl="5" w:tplc="92ECEE6C">
      <w:start w:val="1"/>
      <w:numFmt w:val="bullet"/>
      <w:lvlText w:val=""/>
      <w:lvlJc w:val="left"/>
      <w:pPr>
        <w:ind w:left="1440" w:hanging="360"/>
      </w:pPr>
      <w:rPr>
        <w:rFonts w:ascii="Symbol" w:hAnsi="Symbol"/>
      </w:rPr>
    </w:lvl>
    <w:lvl w:ilvl="6" w:tplc="674E9A1E">
      <w:start w:val="1"/>
      <w:numFmt w:val="bullet"/>
      <w:lvlText w:val=""/>
      <w:lvlJc w:val="left"/>
      <w:pPr>
        <w:ind w:left="1440" w:hanging="360"/>
      </w:pPr>
      <w:rPr>
        <w:rFonts w:ascii="Symbol" w:hAnsi="Symbol"/>
      </w:rPr>
    </w:lvl>
    <w:lvl w:ilvl="7" w:tplc="0A6E62C4">
      <w:start w:val="1"/>
      <w:numFmt w:val="bullet"/>
      <w:lvlText w:val=""/>
      <w:lvlJc w:val="left"/>
      <w:pPr>
        <w:ind w:left="1440" w:hanging="360"/>
      </w:pPr>
      <w:rPr>
        <w:rFonts w:ascii="Symbol" w:hAnsi="Symbol"/>
      </w:rPr>
    </w:lvl>
    <w:lvl w:ilvl="8" w:tplc="75780F9E">
      <w:start w:val="1"/>
      <w:numFmt w:val="bullet"/>
      <w:lvlText w:val=""/>
      <w:lvlJc w:val="left"/>
      <w:pPr>
        <w:ind w:left="1440" w:hanging="360"/>
      </w:pPr>
      <w:rPr>
        <w:rFonts w:ascii="Symbol" w:hAnsi="Symbol"/>
      </w:rPr>
    </w:lvl>
  </w:abstractNum>
  <w:abstractNum w:abstractNumId="16" w15:restartNumberingAfterBreak="0">
    <w:nsid w:val="54005388"/>
    <w:multiLevelType w:val="hybridMultilevel"/>
    <w:tmpl w:val="C9C2C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A857B3"/>
    <w:multiLevelType w:val="hybridMultilevel"/>
    <w:tmpl w:val="567C3C2A"/>
    <w:lvl w:ilvl="0" w:tplc="045C89E0">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22" w15:restartNumberingAfterBreak="0">
    <w:nsid w:val="65105304"/>
    <w:multiLevelType w:val="hybridMultilevel"/>
    <w:tmpl w:val="5CDCD6D6"/>
    <w:lvl w:ilvl="0" w:tplc="045C89E0">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62A1EEC"/>
    <w:multiLevelType w:val="hybridMultilevel"/>
    <w:tmpl w:val="62968EA2"/>
    <w:lvl w:ilvl="0" w:tplc="9B685D2A">
      <w:start w:val="1"/>
      <w:numFmt w:val="bullet"/>
      <w:pStyle w:val="BulletedList"/>
      <w:lvlText w:val=""/>
      <w:lvlJc w:val="right"/>
      <w:pPr>
        <w:ind w:left="360" w:hanging="360"/>
      </w:pPr>
      <w:rPr>
        <w:rFonts w:ascii="Symbol" w:hAnsi="Symbol" w:hint="default"/>
      </w:rPr>
    </w:lvl>
    <w:lvl w:ilvl="1" w:tplc="FFFFFFFF">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677F49B1"/>
    <w:multiLevelType w:val="hybridMultilevel"/>
    <w:tmpl w:val="83C6BF04"/>
    <w:lvl w:ilvl="0" w:tplc="045C89E0">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8A3555"/>
    <w:multiLevelType w:val="hybridMultilevel"/>
    <w:tmpl w:val="623E6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2812C3"/>
    <w:multiLevelType w:val="hybridMultilevel"/>
    <w:tmpl w:val="3CE0CE48"/>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8B87E48"/>
    <w:multiLevelType w:val="hybridMultilevel"/>
    <w:tmpl w:val="CC600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CA23759"/>
    <w:multiLevelType w:val="hybridMultilevel"/>
    <w:tmpl w:val="33D27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236645">
    <w:abstractNumId w:val="14"/>
  </w:num>
  <w:num w:numId="2" w16cid:durableId="1754082663">
    <w:abstractNumId w:val="6"/>
  </w:num>
  <w:num w:numId="3" w16cid:durableId="309797081">
    <w:abstractNumId w:val="26"/>
  </w:num>
  <w:num w:numId="4" w16cid:durableId="1620212311">
    <w:abstractNumId w:val="10"/>
  </w:num>
  <w:num w:numId="5" w16cid:durableId="1356693403">
    <w:abstractNumId w:val="1"/>
  </w:num>
  <w:num w:numId="6" w16cid:durableId="775297526">
    <w:abstractNumId w:val="2"/>
  </w:num>
  <w:num w:numId="7" w16cid:durableId="1954482952">
    <w:abstractNumId w:val="19"/>
  </w:num>
  <w:num w:numId="8" w16cid:durableId="1825854335">
    <w:abstractNumId w:val="21"/>
  </w:num>
  <w:num w:numId="9" w16cid:durableId="993753819">
    <w:abstractNumId w:val="5"/>
  </w:num>
  <w:num w:numId="10" w16cid:durableId="1441951325">
    <w:abstractNumId w:val="20"/>
  </w:num>
  <w:num w:numId="11" w16cid:durableId="1694577282">
    <w:abstractNumId w:val="27"/>
  </w:num>
  <w:num w:numId="12" w16cid:durableId="159005358">
    <w:abstractNumId w:val="3"/>
  </w:num>
  <w:num w:numId="13" w16cid:durableId="946694653">
    <w:abstractNumId w:val="18"/>
  </w:num>
  <w:num w:numId="14" w16cid:durableId="1950157865">
    <w:abstractNumId w:val="13"/>
  </w:num>
  <w:num w:numId="15" w16cid:durableId="1329092550">
    <w:abstractNumId w:val="12"/>
  </w:num>
  <w:num w:numId="16" w16cid:durableId="1225219241">
    <w:abstractNumId w:val="14"/>
  </w:num>
  <w:num w:numId="17" w16cid:durableId="419451794">
    <w:abstractNumId w:val="6"/>
  </w:num>
  <w:num w:numId="18" w16cid:durableId="1264849603">
    <w:abstractNumId w:val="23"/>
  </w:num>
  <w:num w:numId="19" w16cid:durableId="2011172377">
    <w:abstractNumId w:val="26"/>
  </w:num>
  <w:num w:numId="20" w16cid:durableId="1995184165">
    <w:abstractNumId w:val="10"/>
  </w:num>
  <w:num w:numId="21" w16cid:durableId="891111153">
    <w:abstractNumId w:val="16"/>
  </w:num>
  <w:num w:numId="22" w16cid:durableId="1652637906">
    <w:abstractNumId w:val="29"/>
  </w:num>
  <w:num w:numId="23" w16cid:durableId="2132049578">
    <w:abstractNumId w:val="0"/>
  </w:num>
  <w:num w:numId="24" w16cid:durableId="1273709268">
    <w:abstractNumId w:val="4"/>
  </w:num>
  <w:num w:numId="25" w16cid:durableId="2105804842">
    <w:abstractNumId w:val="24"/>
  </w:num>
  <w:num w:numId="26" w16cid:durableId="1991782845">
    <w:abstractNumId w:val="17"/>
  </w:num>
  <w:num w:numId="27" w16cid:durableId="87508673">
    <w:abstractNumId w:val="22"/>
  </w:num>
  <w:num w:numId="28" w16cid:durableId="1070543308">
    <w:abstractNumId w:val="9"/>
  </w:num>
  <w:num w:numId="29" w16cid:durableId="101807710">
    <w:abstractNumId w:val="11"/>
  </w:num>
  <w:num w:numId="30" w16cid:durableId="1191063197">
    <w:abstractNumId w:val="28"/>
  </w:num>
  <w:num w:numId="31" w16cid:durableId="631638010">
    <w:abstractNumId w:val="8"/>
  </w:num>
  <w:num w:numId="32" w16cid:durableId="234979272">
    <w:abstractNumId w:val="25"/>
  </w:num>
  <w:num w:numId="33" w16cid:durableId="2116510465">
    <w:abstractNumId w:val="7"/>
  </w:num>
  <w:num w:numId="34" w16cid:durableId="103681178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20164"/>
    <w:rsid w:val="00044347"/>
    <w:rsid w:val="00044591"/>
    <w:rsid w:val="00067B91"/>
    <w:rsid w:val="00067D41"/>
    <w:rsid w:val="00072233"/>
    <w:rsid w:val="00083C22"/>
    <w:rsid w:val="000A18FC"/>
    <w:rsid w:val="000E4A1E"/>
    <w:rsid w:val="000E54A1"/>
    <w:rsid w:val="000F4312"/>
    <w:rsid w:val="0010329A"/>
    <w:rsid w:val="00111966"/>
    <w:rsid w:val="00130546"/>
    <w:rsid w:val="00133295"/>
    <w:rsid w:val="001600DC"/>
    <w:rsid w:val="00164E1F"/>
    <w:rsid w:val="00192F79"/>
    <w:rsid w:val="00196B7F"/>
    <w:rsid w:val="001A153E"/>
    <w:rsid w:val="001A3542"/>
    <w:rsid w:val="001A701A"/>
    <w:rsid w:val="001B1579"/>
    <w:rsid w:val="001C1CD3"/>
    <w:rsid w:val="001D6D17"/>
    <w:rsid w:val="001E6650"/>
    <w:rsid w:val="002072CA"/>
    <w:rsid w:val="00247CEF"/>
    <w:rsid w:val="00276719"/>
    <w:rsid w:val="00287483"/>
    <w:rsid w:val="0029085B"/>
    <w:rsid w:val="00294D66"/>
    <w:rsid w:val="002A3EE1"/>
    <w:rsid w:val="002C2AC4"/>
    <w:rsid w:val="00313083"/>
    <w:rsid w:val="00332619"/>
    <w:rsid w:val="003400B1"/>
    <w:rsid w:val="00347A71"/>
    <w:rsid w:val="00395A99"/>
    <w:rsid w:val="00397204"/>
    <w:rsid w:val="003A205F"/>
    <w:rsid w:val="003A612A"/>
    <w:rsid w:val="004155DD"/>
    <w:rsid w:val="00420055"/>
    <w:rsid w:val="00426BA3"/>
    <w:rsid w:val="004360B2"/>
    <w:rsid w:val="00480894"/>
    <w:rsid w:val="004841FC"/>
    <w:rsid w:val="004912C6"/>
    <w:rsid w:val="004E37C6"/>
    <w:rsid w:val="00501D58"/>
    <w:rsid w:val="005040BF"/>
    <w:rsid w:val="00512383"/>
    <w:rsid w:val="00514C69"/>
    <w:rsid w:val="0051733E"/>
    <w:rsid w:val="005818EC"/>
    <w:rsid w:val="005A5759"/>
    <w:rsid w:val="005B57E6"/>
    <w:rsid w:val="005C2B98"/>
    <w:rsid w:val="005C5598"/>
    <w:rsid w:val="005C76F4"/>
    <w:rsid w:val="005E5AF3"/>
    <w:rsid w:val="005E6A5E"/>
    <w:rsid w:val="005F4A6C"/>
    <w:rsid w:val="00601F87"/>
    <w:rsid w:val="006111BB"/>
    <w:rsid w:val="00650226"/>
    <w:rsid w:val="00655FBB"/>
    <w:rsid w:val="00671EDD"/>
    <w:rsid w:val="00682C1E"/>
    <w:rsid w:val="006D351E"/>
    <w:rsid w:val="006F38B8"/>
    <w:rsid w:val="006F5CB0"/>
    <w:rsid w:val="006F61D8"/>
    <w:rsid w:val="007002E1"/>
    <w:rsid w:val="0070230F"/>
    <w:rsid w:val="00713F72"/>
    <w:rsid w:val="00741C90"/>
    <w:rsid w:val="00773A93"/>
    <w:rsid w:val="00790E17"/>
    <w:rsid w:val="0079779F"/>
    <w:rsid w:val="007D3A8A"/>
    <w:rsid w:val="007E0F63"/>
    <w:rsid w:val="007E5873"/>
    <w:rsid w:val="00803E1D"/>
    <w:rsid w:val="00817348"/>
    <w:rsid w:val="008341D8"/>
    <w:rsid w:val="00847412"/>
    <w:rsid w:val="008538EB"/>
    <w:rsid w:val="00854461"/>
    <w:rsid w:val="00855E6F"/>
    <w:rsid w:val="00856E59"/>
    <w:rsid w:val="008615E4"/>
    <w:rsid w:val="008715BE"/>
    <w:rsid w:val="008978F4"/>
    <w:rsid w:val="008B6C26"/>
    <w:rsid w:val="008C6AF0"/>
    <w:rsid w:val="008D659B"/>
    <w:rsid w:val="00906E81"/>
    <w:rsid w:val="00912E40"/>
    <w:rsid w:val="00936038"/>
    <w:rsid w:val="009618F1"/>
    <w:rsid w:val="00994203"/>
    <w:rsid w:val="0099606D"/>
    <w:rsid w:val="00996386"/>
    <w:rsid w:val="009C1302"/>
    <w:rsid w:val="009D357A"/>
    <w:rsid w:val="00A113D6"/>
    <w:rsid w:val="00A2386B"/>
    <w:rsid w:val="00A32F00"/>
    <w:rsid w:val="00A519B0"/>
    <w:rsid w:val="00A94A0D"/>
    <w:rsid w:val="00AC2D90"/>
    <w:rsid w:val="00AE1048"/>
    <w:rsid w:val="00AF2098"/>
    <w:rsid w:val="00AF6843"/>
    <w:rsid w:val="00B07BE4"/>
    <w:rsid w:val="00B46EFB"/>
    <w:rsid w:val="00B612CF"/>
    <w:rsid w:val="00B80E9A"/>
    <w:rsid w:val="00B925C4"/>
    <w:rsid w:val="00BD4A13"/>
    <w:rsid w:val="00BD74FC"/>
    <w:rsid w:val="00BE3FF1"/>
    <w:rsid w:val="00C07AC5"/>
    <w:rsid w:val="00C25094"/>
    <w:rsid w:val="00C30BEF"/>
    <w:rsid w:val="00C53A13"/>
    <w:rsid w:val="00C71653"/>
    <w:rsid w:val="00C7530F"/>
    <w:rsid w:val="00C833D5"/>
    <w:rsid w:val="00C93E55"/>
    <w:rsid w:val="00CC7C0B"/>
    <w:rsid w:val="00D0495B"/>
    <w:rsid w:val="00D263D1"/>
    <w:rsid w:val="00D35A39"/>
    <w:rsid w:val="00D560BB"/>
    <w:rsid w:val="00D700B6"/>
    <w:rsid w:val="00D75BA2"/>
    <w:rsid w:val="00D845DF"/>
    <w:rsid w:val="00D85724"/>
    <w:rsid w:val="00D96B94"/>
    <w:rsid w:val="00DA149D"/>
    <w:rsid w:val="00DC7F27"/>
    <w:rsid w:val="00DD4F4A"/>
    <w:rsid w:val="00DE189B"/>
    <w:rsid w:val="00E365BE"/>
    <w:rsid w:val="00E73467"/>
    <w:rsid w:val="00E858EB"/>
    <w:rsid w:val="00E86119"/>
    <w:rsid w:val="00E906C9"/>
    <w:rsid w:val="00F00EBF"/>
    <w:rsid w:val="00F05986"/>
    <w:rsid w:val="00F061C8"/>
    <w:rsid w:val="00F132F8"/>
    <w:rsid w:val="00F16951"/>
    <w:rsid w:val="00F2173B"/>
    <w:rsid w:val="00F4073F"/>
    <w:rsid w:val="00F52597"/>
    <w:rsid w:val="00F56307"/>
    <w:rsid w:val="00F611D4"/>
    <w:rsid w:val="00F658BA"/>
    <w:rsid w:val="00F73C38"/>
    <w:rsid w:val="00F9579D"/>
    <w:rsid w:val="00FB7862"/>
    <w:rsid w:val="00FC6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055"/>
    <w:pPr>
      <w:spacing w:after="0" w:line="264" w:lineRule="auto"/>
    </w:pPr>
  </w:style>
  <w:style w:type="paragraph" w:styleId="Heading1">
    <w:name w:val="heading 1"/>
    <w:basedOn w:val="Normal"/>
    <w:next w:val="Normal"/>
    <w:link w:val="Heading1Char"/>
    <w:uiPriority w:val="9"/>
    <w:qFormat/>
    <w:rsid w:val="00420055"/>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420055"/>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420055"/>
    <w:pPr>
      <w:spacing w:before="120"/>
      <w:outlineLvl w:val="2"/>
    </w:pPr>
    <w:rPr>
      <w:b/>
    </w:rPr>
  </w:style>
  <w:style w:type="paragraph" w:styleId="Heading4">
    <w:name w:val="heading 4"/>
    <w:basedOn w:val="Normal"/>
    <w:next w:val="Normal"/>
    <w:link w:val="Heading4Char"/>
    <w:uiPriority w:val="9"/>
    <w:unhideWhenUsed/>
    <w:qFormat/>
    <w:rsid w:val="00420055"/>
    <w:pPr>
      <w:spacing w:before="120" w:after="24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0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420055"/>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420055"/>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420055"/>
    <w:rPr>
      <w:b/>
    </w:rPr>
  </w:style>
  <w:style w:type="character" w:customStyle="1" w:styleId="Heading4Char">
    <w:name w:val="Heading 4 Char"/>
    <w:basedOn w:val="DefaultParagraphFont"/>
    <w:link w:val="Heading4"/>
    <w:uiPriority w:val="9"/>
    <w:rsid w:val="00420055"/>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055"/>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420055"/>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420055"/>
    <w:rPr>
      <w:rFonts w:ascii="Aptos" w:eastAsia="Times New Roman" w:hAnsi="Aptos" w:cs="Arial"/>
      <w:b/>
      <w:bCs/>
      <w:kern w:val="0"/>
      <w14:ligatures w14:val="none"/>
    </w:rPr>
  </w:style>
  <w:style w:type="paragraph" w:styleId="Quote">
    <w:name w:val="Quote"/>
    <w:basedOn w:val="Normal"/>
    <w:next w:val="Normal"/>
    <w:link w:val="QuoteChar"/>
    <w:uiPriority w:val="29"/>
    <w:qFormat/>
    <w:rsid w:val="00420055"/>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420055"/>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rsid w:val="00420055"/>
    <w:pPr>
      <w:numPr>
        <w:numId w:val="16"/>
      </w:numPr>
      <w:spacing w:after="120"/>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420055"/>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420055"/>
    <w:pPr>
      <w:numPr>
        <w:numId w:val="17"/>
      </w:numPr>
      <w:spacing w:before="120"/>
      <w:ind w:left="576" w:hanging="216"/>
    </w:pPr>
    <w:rPr>
      <w:rFonts w:ascii="Aptos" w:eastAsia="Aptos" w:hAnsi="Aptos" w:cs="Times New Roman"/>
      <w:bCs/>
    </w:rPr>
  </w:style>
  <w:style w:type="character" w:customStyle="1" w:styleId="DashListChar">
    <w:name w:val="Dash List Char"/>
    <w:basedOn w:val="DefaultParagraphFont"/>
    <w:link w:val="DashList"/>
    <w:rsid w:val="00420055"/>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420055"/>
    <w:pPr>
      <w:spacing w:before="120" w:after="240"/>
    </w:pPr>
  </w:style>
  <w:style w:type="character" w:customStyle="1" w:styleId="BodyTextChar">
    <w:name w:val="Body Text Char"/>
    <w:basedOn w:val="DefaultParagraphFont"/>
    <w:link w:val="BodyText"/>
    <w:rsid w:val="00420055"/>
  </w:style>
  <w:style w:type="paragraph" w:customStyle="1" w:styleId="BulletedList">
    <w:name w:val="Bulleted List"/>
    <w:basedOn w:val="DashList"/>
    <w:qFormat/>
    <w:rsid w:val="00420055"/>
    <w:pPr>
      <w:numPr>
        <w:numId w:val="18"/>
      </w:numPr>
      <w:ind w:left="576" w:hanging="216"/>
    </w:pPr>
  </w:style>
  <w:style w:type="paragraph" w:customStyle="1" w:styleId="KeyIssuesList">
    <w:name w:val="Key Issues List"/>
    <w:basedOn w:val="Normal"/>
    <w:qFormat/>
    <w:rsid w:val="00420055"/>
    <w:pPr>
      <w:numPr>
        <w:numId w:val="19"/>
      </w:numPr>
      <w:spacing w:before="120" w:after="120"/>
    </w:pPr>
    <w:rPr>
      <w:rFonts w:ascii="Aptos" w:eastAsia="Aptos" w:hAnsi="Aptos" w:cs="Times New Roman"/>
      <w:b/>
    </w:rPr>
  </w:style>
  <w:style w:type="paragraph" w:customStyle="1" w:styleId="NumberedList">
    <w:name w:val="Numbered List"/>
    <w:basedOn w:val="Normal"/>
    <w:link w:val="NumberedListChar"/>
    <w:qFormat/>
    <w:rsid w:val="00420055"/>
    <w:pPr>
      <w:numPr>
        <w:numId w:val="20"/>
      </w:numPr>
      <w:spacing w:before="120"/>
      <w:ind w:left="576"/>
    </w:pPr>
    <w:rPr>
      <w:rFonts w:ascii="Aptos" w:eastAsia="Aptos" w:hAnsi="Aptos" w:cs="Times New Roman"/>
    </w:rPr>
  </w:style>
  <w:style w:type="character" w:customStyle="1" w:styleId="ListParagraphChar">
    <w:name w:val="List Paragraph Char"/>
    <w:aliases w:val="Bullet List Char"/>
    <w:basedOn w:val="DefaultParagraphFont"/>
    <w:link w:val="ListParagraph"/>
    <w:uiPriority w:val="34"/>
    <w:rsid w:val="00420055"/>
    <w:rPr>
      <w:rFonts w:ascii="Aptos" w:eastAsia="Aptos" w:hAnsi="Aptos" w:cs="Times New Roman"/>
      <w:bCs/>
    </w:rPr>
  </w:style>
  <w:style w:type="character" w:customStyle="1" w:styleId="NumberedListChar">
    <w:name w:val="Numbered List Char"/>
    <w:basedOn w:val="ListParagraphChar"/>
    <w:link w:val="NumberedList"/>
    <w:rsid w:val="00420055"/>
    <w:rPr>
      <w:rFonts w:ascii="Aptos" w:eastAsia="Aptos" w:hAnsi="Aptos" w:cs="Times New Roman"/>
      <w:bCs w:val="0"/>
    </w:rPr>
  </w:style>
  <w:style w:type="paragraph" w:styleId="FootnoteText">
    <w:name w:val="footnote text"/>
    <w:basedOn w:val="Normal"/>
    <w:link w:val="FootnoteTextChar"/>
    <w:uiPriority w:val="99"/>
    <w:unhideWhenUsed/>
    <w:rsid w:val="00192F79"/>
    <w:pPr>
      <w:spacing w:line="240" w:lineRule="auto"/>
    </w:pPr>
    <w:rPr>
      <w:sz w:val="20"/>
      <w:szCs w:val="20"/>
    </w:rPr>
  </w:style>
  <w:style w:type="character" w:customStyle="1" w:styleId="FootnoteTextChar">
    <w:name w:val="Footnote Text Char"/>
    <w:basedOn w:val="DefaultParagraphFont"/>
    <w:link w:val="FootnoteText"/>
    <w:uiPriority w:val="99"/>
    <w:rsid w:val="00192F79"/>
    <w:rPr>
      <w:sz w:val="20"/>
      <w:szCs w:val="20"/>
    </w:rPr>
  </w:style>
  <w:style w:type="character" w:styleId="FootnoteReference">
    <w:name w:val="footnote reference"/>
    <w:basedOn w:val="DefaultParagraphFont"/>
    <w:semiHidden/>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 w:type="paragraph" w:customStyle="1" w:styleId="PlanorProvisoQuote">
    <w:name w:val="Plan or Proviso Quote"/>
    <w:basedOn w:val="Quote"/>
    <w:link w:val="PlanorProvisoQuoteChar"/>
    <w:qFormat/>
    <w:rsid w:val="00420055"/>
  </w:style>
  <w:style w:type="character" w:customStyle="1" w:styleId="PlanorProvisoQuoteChar">
    <w:name w:val="Plan or Proviso Quote Char"/>
    <w:basedOn w:val="QuoteChar"/>
    <w:link w:val="PlanorProvisoQuote"/>
    <w:rsid w:val="00420055"/>
    <w:rPr>
      <w:rFonts w:ascii="Aptos" w:eastAsia="Times New Roman" w:hAnsi="Aptos" w:cs="Arial"/>
      <w:i/>
      <w:iCs/>
      <w:kern w:val="0"/>
      <w14:ligatures w14:val="none"/>
    </w:rPr>
  </w:style>
  <w:style w:type="paragraph" w:styleId="CommentSubject">
    <w:name w:val="annotation subject"/>
    <w:basedOn w:val="CommentText"/>
    <w:next w:val="CommentText"/>
    <w:link w:val="CommentSubjectChar"/>
    <w:uiPriority w:val="99"/>
    <w:semiHidden/>
    <w:unhideWhenUsed/>
    <w:rsid w:val="00D35A39"/>
    <w:pPr>
      <w:spacing w:after="0"/>
    </w:pPr>
    <w:rPr>
      <w:b/>
      <w:bCs/>
    </w:rPr>
  </w:style>
  <w:style w:type="character" w:customStyle="1" w:styleId="CommentSubjectChar">
    <w:name w:val="Comment Subject Char"/>
    <w:basedOn w:val="CommentTextChar"/>
    <w:link w:val="CommentSubject"/>
    <w:uiPriority w:val="99"/>
    <w:semiHidden/>
    <w:rsid w:val="00D35A3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kcrha.org/wp-content/uploads/2026/08/City-of-Seattle_KCRHA_Contract_Transition_Plan_07312026.pdf" TargetMode="External"/><Relationship Id="rId2" Type="http://schemas.openxmlformats.org/officeDocument/2006/relationships/hyperlink" Target="https://mkcclegisearch.kingcounty.gov/LegislationDetail.aspx?ID=7782280&amp;GUID=DC7DFAA7-E1C1-4472-A89D-D9B6EE92F932&amp;Options=Advanced&amp;Search=" TargetMode="External"/><Relationship Id="rId1" Type="http://schemas.openxmlformats.org/officeDocument/2006/relationships/hyperlink" Target="https://mkcclegisearch.kingcounty.gov/LegislationDetail.aspx?ID=7998691&amp;GUID=D68E3CE9-550D-457A-93E8-7B2C41DF6361&amp;Options=Advanced&amp;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3338</TotalTime>
  <Pages>7</Pages>
  <Words>2179</Words>
  <Characters>12424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14574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 Jenny</dc:creator>
  <cp:keywords/>
  <dc:description/>
  <cp:lastModifiedBy>Wells, Blake</cp:lastModifiedBy>
  <cp:revision>53</cp:revision>
  <dcterms:created xsi:type="dcterms:W3CDTF">2026-05-28T21:49:00Z</dcterms:created>
  <dcterms:modified xsi:type="dcterms:W3CDTF">2026-08-21T17:01:00Z</dcterms:modified>
</cp:coreProperties>
</file>