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BB50B" w14:textId="77777777" w:rsidR="007A4AF7" w:rsidRPr="00562815" w:rsidRDefault="007A4AF7" w:rsidP="007A4AF7">
      <w:pPr>
        <w:pBdr>
          <w:bottom w:val="single" w:sz="4" w:space="1" w:color="auto"/>
        </w:pBdr>
        <w:spacing w:after="0" w:line="240" w:lineRule="auto"/>
        <w:jc w:val="center"/>
        <w:rPr>
          <w:b/>
          <w:color w:val="156082" w:themeColor="accent1"/>
          <w:sz w:val="28"/>
          <w:szCs w:val="28"/>
        </w:rPr>
      </w:pPr>
      <w:r w:rsidRPr="684876B7">
        <w:rPr>
          <w:b/>
          <w:color w:val="156082" w:themeColor="accent1"/>
          <w:sz w:val="28"/>
          <w:szCs w:val="28"/>
        </w:rPr>
        <w:t>Responses to Motion 16970</w:t>
      </w:r>
    </w:p>
    <w:p w14:paraId="29DD3719" w14:textId="77777777" w:rsidR="007A4AF7" w:rsidRDefault="007A4AF7" w:rsidP="007A4AF7">
      <w:pPr>
        <w:spacing w:after="0" w:line="279" w:lineRule="auto"/>
      </w:pPr>
    </w:p>
    <w:tbl>
      <w:tblPr>
        <w:tblStyle w:val="TableGrid"/>
        <w:tblW w:w="9535" w:type="dxa"/>
        <w:tblLook w:val="04A0" w:firstRow="1" w:lastRow="0" w:firstColumn="1" w:lastColumn="0" w:noHBand="0" w:noVBand="1"/>
      </w:tblPr>
      <w:tblGrid>
        <w:gridCol w:w="3865"/>
        <w:gridCol w:w="5670"/>
      </w:tblGrid>
      <w:tr w:rsidR="007A4AF7" w14:paraId="4DC7F56B" w14:textId="77777777" w:rsidTr="0A029B80">
        <w:tc>
          <w:tcPr>
            <w:tcW w:w="3865" w:type="dxa"/>
          </w:tcPr>
          <w:p w14:paraId="2697743A" w14:textId="77777777" w:rsidR="007A4AF7" w:rsidRPr="00AC6366" w:rsidRDefault="007A4AF7" w:rsidP="2AB85622">
            <w:pPr>
              <w:spacing w:line="279" w:lineRule="auto"/>
              <w:rPr>
                <w:rFonts w:eastAsiaTheme="minorEastAsia"/>
                <w:sz w:val="22"/>
                <w:szCs w:val="22"/>
              </w:rPr>
            </w:pPr>
            <w:r w:rsidRPr="2AB85622">
              <w:rPr>
                <w:rFonts w:eastAsiaTheme="minorEastAsia"/>
                <w:sz w:val="22"/>
                <w:szCs w:val="22"/>
              </w:rPr>
              <w:t>Recommendation on continuing, amending, or terminating the Amended and Restated Interlocal Agreement (ILA)</w:t>
            </w:r>
          </w:p>
        </w:tc>
        <w:tc>
          <w:tcPr>
            <w:tcW w:w="5670" w:type="dxa"/>
          </w:tcPr>
          <w:p w14:paraId="1B52AD1D" w14:textId="0DB109CC" w:rsidR="00244446" w:rsidRPr="00AC6366" w:rsidRDefault="007A4AF7" w:rsidP="00D4360C">
            <w:pPr>
              <w:rPr>
                <w:rFonts w:eastAsiaTheme="minorEastAsia"/>
                <w:sz w:val="22"/>
                <w:szCs w:val="22"/>
              </w:rPr>
            </w:pPr>
            <w:r w:rsidRPr="2AB85622">
              <w:rPr>
                <w:rFonts w:eastAsiaTheme="minorEastAsia"/>
                <w:sz w:val="22"/>
                <w:szCs w:val="22"/>
              </w:rPr>
              <w:t>The Executive will make a long-term recommendation following the Regional Reset Conversations discussed in the Contract Transition Plan.</w:t>
            </w:r>
            <w:r w:rsidR="00244446">
              <w:rPr>
                <w:rFonts w:eastAsiaTheme="minorEastAsia"/>
                <w:sz w:val="22"/>
                <w:szCs w:val="22"/>
              </w:rPr>
              <w:t xml:space="preserve">  </w:t>
            </w:r>
            <w:r w:rsidR="00D4360C" w:rsidRPr="00D4360C">
              <w:rPr>
                <w:rFonts w:eastAsiaTheme="minorEastAsia"/>
                <w:sz w:val="22"/>
                <w:szCs w:val="22"/>
              </w:rPr>
              <w:t>Consistent with the Executive’s prior public statements about needing KCRHA to continue to serve as a key regional partner, the Executive respectfully requests that the King County Council not take action at this time to dissolve KCRHA.</w:t>
            </w:r>
          </w:p>
        </w:tc>
      </w:tr>
      <w:tr w:rsidR="007A4AF7" w14:paraId="547FE909" w14:textId="77777777" w:rsidTr="0A029B80">
        <w:tc>
          <w:tcPr>
            <w:tcW w:w="3865" w:type="dxa"/>
          </w:tcPr>
          <w:p w14:paraId="0B1EF971" w14:textId="77777777" w:rsidR="007A4AF7" w:rsidRPr="0081414E" w:rsidRDefault="007A4AF7" w:rsidP="2AB85622">
            <w:pPr>
              <w:spacing w:line="279" w:lineRule="auto"/>
              <w:rPr>
                <w:rFonts w:eastAsiaTheme="minorEastAsia"/>
                <w:sz w:val="22"/>
                <w:szCs w:val="22"/>
              </w:rPr>
            </w:pPr>
            <w:r w:rsidRPr="2AB85622">
              <w:rPr>
                <w:rFonts w:eastAsiaTheme="minorEastAsia"/>
                <w:sz w:val="22"/>
                <w:szCs w:val="22"/>
              </w:rPr>
              <w:t>A clear decision framework to guide the council’s consideration</w:t>
            </w:r>
          </w:p>
        </w:tc>
        <w:tc>
          <w:tcPr>
            <w:tcW w:w="5670" w:type="dxa"/>
          </w:tcPr>
          <w:p w14:paraId="3E542949" w14:textId="77777777" w:rsidR="007A4AF7" w:rsidRDefault="007A4AF7" w:rsidP="2AB85622">
            <w:pPr>
              <w:spacing w:line="279" w:lineRule="auto"/>
              <w:rPr>
                <w:rFonts w:eastAsiaTheme="minorEastAsia"/>
                <w:sz w:val="22"/>
                <w:szCs w:val="22"/>
              </w:rPr>
            </w:pPr>
            <w:r w:rsidRPr="2AB85622">
              <w:rPr>
                <w:rFonts w:eastAsiaTheme="minorEastAsia"/>
                <w:sz w:val="22"/>
                <w:szCs w:val="22"/>
              </w:rPr>
              <w:t>A decision framework will be developed as part of the Regional Reset Conversations.  The decision framework will:</w:t>
            </w:r>
          </w:p>
          <w:p w14:paraId="3DC0A911"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Identify objectives;</w:t>
            </w:r>
          </w:p>
          <w:p w14:paraId="2322B8F6"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Identify stakeholder interests;</w:t>
            </w:r>
          </w:p>
          <w:p w14:paraId="061E694C"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Identify alternatives</w:t>
            </w:r>
          </w:p>
          <w:p w14:paraId="57BA375D" w14:textId="77777777" w:rsidR="007A4AF7"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Weigh stakeholder interests for each alternative</w:t>
            </w:r>
          </w:p>
          <w:p w14:paraId="1DEAD1D0" w14:textId="77777777" w:rsidR="007A4AF7" w:rsidRPr="00795F4A" w:rsidRDefault="007A4AF7" w:rsidP="2AB85622">
            <w:pPr>
              <w:pStyle w:val="ListParagraph"/>
              <w:numPr>
                <w:ilvl w:val="0"/>
                <w:numId w:val="7"/>
              </w:numPr>
              <w:spacing w:line="279" w:lineRule="auto"/>
              <w:rPr>
                <w:rFonts w:eastAsiaTheme="minorEastAsia"/>
                <w:sz w:val="22"/>
                <w:szCs w:val="22"/>
              </w:rPr>
            </w:pPr>
            <w:r w:rsidRPr="2AB85622">
              <w:rPr>
                <w:rFonts w:eastAsiaTheme="minorEastAsia"/>
                <w:sz w:val="22"/>
                <w:szCs w:val="22"/>
              </w:rPr>
              <w:t>Weigh the alternatives overall</w:t>
            </w:r>
          </w:p>
        </w:tc>
      </w:tr>
      <w:tr w:rsidR="007A4AF7" w14:paraId="74AF4643" w14:textId="77777777" w:rsidTr="0A029B80">
        <w:tc>
          <w:tcPr>
            <w:tcW w:w="3865" w:type="dxa"/>
          </w:tcPr>
          <w:p w14:paraId="4A1BDB41" w14:textId="77777777" w:rsidR="007A4AF7" w:rsidRPr="001C4B47" w:rsidRDefault="007A4AF7" w:rsidP="2AB85622">
            <w:pPr>
              <w:spacing w:line="279" w:lineRule="auto"/>
              <w:rPr>
                <w:rFonts w:eastAsiaTheme="minorEastAsia"/>
                <w:sz w:val="22"/>
                <w:szCs w:val="22"/>
              </w:rPr>
            </w:pPr>
            <w:r w:rsidRPr="2AB85622">
              <w:rPr>
                <w:rFonts w:eastAsiaTheme="minorEastAsia"/>
                <w:sz w:val="22"/>
                <w:szCs w:val="22"/>
              </w:rPr>
              <w:t>Criteria to evaluate and an evaluation of the authority’s ability to successfully and timely implement corrective actions</w:t>
            </w:r>
          </w:p>
        </w:tc>
        <w:tc>
          <w:tcPr>
            <w:tcW w:w="5670" w:type="dxa"/>
          </w:tcPr>
          <w:p w14:paraId="29B7366A" w14:textId="77777777"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The County and City have embedded a financial consulting firm at KCRHA.  The financial consultant will provide regular reports on KCRHA’s progress in improving its financial management.</w:t>
            </w:r>
          </w:p>
        </w:tc>
      </w:tr>
      <w:tr w:rsidR="007A4AF7" w14:paraId="4BAC50BE" w14:textId="77777777" w:rsidTr="0A029B80">
        <w:tc>
          <w:tcPr>
            <w:tcW w:w="3865" w:type="dxa"/>
          </w:tcPr>
          <w:p w14:paraId="03277CAB" w14:textId="77777777" w:rsidR="007A4AF7" w:rsidRPr="001C4B47" w:rsidRDefault="007A4AF7" w:rsidP="2AB85622">
            <w:pPr>
              <w:spacing w:line="279" w:lineRule="auto"/>
              <w:rPr>
                <w:rFonts w:eastAsiaTheme="minorEastAsia"/>
                <w:sz w:val="22"/>
                <w:szCs w:val="22"/>
              </w:rPr>
            </w:pPr>
            <w:r w:rsidRPr="2AB85622">
              <w:rPr>
                <w:rFonts w:eastAsiaTheme="minorEastAsia"/>
                <w:sz w:val="22"/>
                <w:szCs w:val="22"/>
              </w:rPr>
              <w:t>Specific performance metrics related to financial management, service delivery, and system outcomes</w:t>
            </w:r>
          </w:p>
        </w:tc>
        <w:tc>
          <w:tcPr>
            <w:tcW w:w="5670" w:type="dxa"/>
          </w:tcPr>
          <w:p w14:paraId="22A8446B" w14:textId="22477F74" w:rsidR="1C826692" w:rsidRDefault="1828EADF" w:rsidP="2AB85622">
            <w:pPr>
              <w:spacing w:line="276" w:lineRule="auto"/>
              <w:rPr>
                <w:rFonts w:eastAsiaTheme="minorEastAsia"/>
                <w:sz w:val="22"/>
                <w:szCs w:val="22"/>
              </w:rPr>
            </w:pPr>
            <w:r w:rsidRPr="2AB85622">
              <w:rPr>
                <w:rFonts w:eastAsiaTheme="minorEastAsia"/>
                <w:sz w:val="22"/>
                <w:szCs w:val="22"/>
              </w:rPr>
              <w:t xml:space="preserve">The KCRHA Governing Board Finance Committee </w:t>
            </w:r>
            <w:r w:rsidR="5E5534FF" w:rsidRPr="3B8CC1D9">
              <w:rPr>
                <w:rFonts w:eastAsiaTheme="minorEastAsia"/>
                <w:sz w:val="22"/>
                <w:szCs w:val="22"/>
              </w:rPr>
              <w:t>has requested to review the following information</w:t>
            </w:r>
            <w:r w:rsidR="51B973F4" w:rsidRPr="2AB85622">
              <w:rPr>
                <w:rFonts w:eastAsiaTheme="minorEastAsia"/>
                <w:sz w:val="22"/>
                <w:szCs w:val="22"/>
              </w:rPr>
              <w:t xml:space="preserve"> monthly</w:t>
            </w:r>
            <w:r w:rsidRPr="2AB85622">
              <w:rPr>
                <w:rFonts w:eastAsiaTheme="minorEastAsia"/>
                <w:sz w:val="22"/>
                <w:szCs w:val="22"/>
              </w:rPr>
              <w:t>:</w:t>
            </w:r>
          </w:p>
          <w:p w14:paraId="24336BF0" w14:textId="5FC86F5E"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budget for services</w:t>
            </w:r>
            <w:r w:rsidR="60E60673" w:rsidRPr="2AB85622">
              <w:rPr>
                <w:rFonts w:eastAsiaTheme="minorEastAsia"/>
                <w:sz w:val="22"/>
                <w:szCs w:val="22"/>
              </w:rPr>
              <w:t>;</w:t>
            </w:r>
          </w:p>
          <w:p w14:paraId="0D860856" w14:textId="2A153C79"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actual expenditure for services</w:t>
            </w:r>
            <w:r w:rsidR="25773E55" w:rsidRPr="2AB85622">
              <w:rPr>
                <w:rFonts w:eastAsiaTheme="minorEastAsia"/>
                <w:sz w:val="22"/>
                <w:szCs w:val="22"/>
              </w:rPr>
              <w:t>;</w:t>
            </w:r>
          </w:p>
          <w:p w14:paraId="35420DB3" w14:textId="1A41FFB1"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forecasted expenditures for services at year end</w:t>
            </w:r>
          </w:p>
          <w:p w14:paraId="10DEAE92" w14:textId="6E860D62"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budget for administration</w:t>
            </w:r>
            <w:r w:rsidR="4CC7B210" w:rsidRPr="2AB85622">
              <w:rPr>
                <w:rFonts w:eastAsiaTheme="minorEastAsia"/>
                <w:sz w:val="22"/>
                <w:szCs w:val="22"/>
              </w:rPr>
              <w:t>;</w:t>
            </w:r>
          </w:p>
          <w:p w14:paraId="6AB1E1E4" w14:textId="2020A6CA"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actuals for administration (through most recent month end)</w:t>
            </w:r>
            <w:r w:rsidR="466B3C53" w:rsidRPr="2AB85622">
              <w:rPr>
                <w:rFonts w:eastAsiaTheme="minorEastAsia"/>
                <w:sz w:val="22"/>
                <w:szCs w:val="22"/>
              </w:rPr>
              <w:t>;</w:t>
            </w:r>
          </w:p>
          <w:p w14:paraId="61EDADA7" w14:textId="11CADA30"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2026 forecasted expenditures for administration at year end</w:t>
            </w:r>
            <w:r w:rsidR="5B11735E" w:rsidRPr="2AB85622">
              <w:rPr>
                <w:rFonts w:eastAsiaTheme="minorEastAsia"/>
                <w:sz w:val="22"/>
                <w:szCs w:val="22"/>
              </w:rPr>
              <w:t>;</w:t>
            </w:r>
          </w:p>
          <w:p w14:paraId="17DC38B6" w14:textId="5C9E5691"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Cash balance in the King County Investment Pool (through most recent month end)</w:t>
            </w:r>
            <w:r w:rsidR="02A5FFF1" w:rsidRPr="2AB85622">
              <w:rPr>
                <w:rFonts w:eastAsiaTheme="minorEastAsia"/>
                <w:sz w:val="22"/>
                <w:szCs w:val="22"/>
              </w:rPr>
              <w:t>;</w:t>
            </w:r>
          </w:p>
          <w:p w14:paraId="1A9F8F0E" w14:textId="1CD5E0D7"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Cash forecast until end of year</w:t>
            </w:r>
            <w:r w:rsidR="7C3EB7E3" w:rsidRPr="2AB85622">
              <w:rPr>
                <w:rFonts w:eastAsiaTheme="minorEastAsia"/>
                <w:sz w:val="22"/>
                <w:szCs w:val="22"/>
              </w:rPr>
              <w:t>;</w:t>
            </w:r>
          </w:p>
          <w:p w14:paraId="3974B4A5" w14:textId="1050BC76"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 xml:space="preserve">Current value of open invoices to </w:t>
            </w:r>
            <w:r w:rsidR="11F1C50F" w:rsidRPr="2AB85622">
              <w:rPr>
                <w:rFonts w:eastAsiaTheme="minorEastAsia"/>
                <w:sz w:val="22"/>
                <w:szCs w:val="22"/>
              </w:rPr>
              <w:t>f</w:t>
            </w:r>
            <w:r w:rsidRPr="2AB85622">
              <w:rPr>
                <w:rFonts w:eastAsiaTheme="minorEastAsia"/>
                <w:sz w:val="22"/>
                <w:szCs w:val="22"/>
              </w:rPr>
              <w:t>unders</w:t>
            </w:r>
            <w:r w:rsidR="1C5361A3" w:rsidRPr="2AB85622">
              <w:rPr>
                <w:rFonts w:eastAsiaTheme="minorEastAsia"/>
                <w:sz w:val="22"/>
                <w:szCs w:val="22"/>
              </w:rPr>
              <w:t>; and</w:t>
            </w:r>
          </w:p>
          <w:p w14:paraId="139C6325" w14:textId="4FE94097" w:rsidR="1828EADF" w:rsidRDefault="1828EADF" w:rsidP="2AB85622">
            <w:pPr>
              <w:pStyle w:val="ListParagraph"/>
              <w:numPr>
                <w:ilvl w:val="0"/>
                <w:numId w:val="9"/>
              </w:numPr>
              <w:rPr>
                <w:rFonts w:eastAsiaTheme="minorEastAsia"/>
                <w:sz w:val="22"/>
                <w:szCs w:val="22"/>
              </w:rPr>
            </w:pPr>
            <w:r w:rsidRPr="2AB85622">
              <w:rPr>
                <w:rFonts w:eastAsiaTheme="minorEastAsia"/>
                <w:sz w:val="22"/>
                <w:szCs w:val="22"/>
              </w:rPr>
              <w:t>Current value of account receivables in KCRHA finance system</w:t>
            </w:r>
            <w:r w:rsidR="1C07029F" w:rsidRPr="2AB85622">
              <w:rPr>
                <w:rFonts w:eastAsiaTheme="minorEastAsia"/>
                <w:sz w:val="22"/>
                <w:szCs w:val="22"/>
              </w:rPr>
              <w:t>.</w:t>
            </w:r>
          </w:p>
          <w:p w14:paraId="368D438F" w14:textId="3EBBC53C" w:rsidR="001B6A6F" w:rsidRPr="006F105C" w:rsidRDefault="001B6A6F" w:rsidP="2AB85622">
            <w:pPr>
              <w:spacing w:line="276" w:lineRule="auto"/>
              <w:rPr>
                <w:rFonts w:eastAsiaTheme="minorEastAsia"/>
                <w:sz w:val="22"/>
                <w:szCs w:val="22"/>
              </w:rPr>
            </w:pPr>
          </w:p>
          <w:p w14:paraId="315398E9" w14:textId="256171B1" w:rsidR="007A4AF7" w:rsidRPr="006F105C" w:rsidRDefault="1D10FAB9" w:rsidP="2AB85622">
            <w:pPr>
              <w:spacing w:line="276" w:lineRule="auto"/>
            </w:pPr>
            <w:r w:rsidRPr="2AB85622">
              <w:rPr>
                <w:rFonts w:eastAsiaTheme="minorEastAsia"/>
                <w:sz w:val="22"/>
                <w:szCs w:val="22"/>
              </w:rPr>
              <w:t xml:space="preserve">DCHS and HSD will work to align performance metrics related to service delivery and system outcomes.  </w:t>
            </w:r>
            <w:r w:rsidR="6D041225" w:rsidRPr="2AB85622">
              <w:rPr>
                <w:rFonts w:eastAsiaTheme="minorEastAsia"/>
                <w:sz w:val="22"/>
                <w:szCs w:val="22"/>
              </w:rPr>
              <w:t xml:space="preserve">In the near term, the primary focus is maintaining service continuity through the contract transition.  Performance </w:t>
            </w:r>
            <w:r w:rsidR="6D041225" w:rsidRPr="2AB85622">
              <w:rPr>
                <w:rFonts w:eastAsiaTheme="minorEastAsia"/>
                <w:sz w:val="22"/>
                <w:szCs w:val="22"/>
              </w:rPr>
              <w:lastRenderedPageBreak/>
              <w:t xml:space="preserve">management will center on operational metrics collected by the County, City, and KCRHA to monitor contract closeout, execution of successor agreements, and program performance to minimize service disruptions.   </w:t>
            </w:r>
          </w:p>
          <w:p w14:paraId="7EF5BB6D" w14:textId="26E1F168" w:rsidR="007A4AF7" w:rsidRPr="006F105C" w:rsidRDefault="007A4AF7" w:rsidP="2AB85622">
            <w:pPr>
              <w:spacing w:line="276" w:lineRule="auto"/>
              <w:rPr>
                <w:rFonts w:eastAsiaTheme="minorEastAsia"/>
                <w:sz w:val="22"/>
                <w:szCs w:val="22"/>
              </w:rPr>
            </w:pPr>
          </w:p>
          <w:p w14:paraId="13A62078" w14:textId="73713BAC" w:rsidR="007A4AF7" w:rsidRPr="006F105C" w:rsidRDefault="6D041225" w:rsidP="2AB85622">
            <w:pPr>
              <w:spacing w:line="276" w:lineRule="auto"/>
              <w:rPr>
                <w:rFonts w:eastAsiaTheme="minorEastAsia"/>
                <w:sz w:val="22"/>
                <w:szCs w:val="22"/>
              </w:rPr>
            </w:pPr>
            <w:r w:rsidRPr="2AB85622">
              <w:rPr>
                <w:rFonts w:eastAsiaTheme="minorEastAsia"/>
                <w:sz w:val="22"/>
                <w:szCs w:val="22"/>
              </w:rPr>
              <w:t xml:space="preserve">Examples of potential metrics include: </w:t>
            </w:r>
          </w:p>
          <w:p w14:paraId="750DC2BB" w14:textId="7ACA44C4" w:rsidR="007A4AF7" w:rsidRPr="006F105C" w:rsidRDefault="6D041225" w:rsidP="0A029B80">
            <w:pPr>
              <w:pStyle w:val="ListParagraph"/>
              <w:numPr>
                <w:ilvl w:val="0"/>
                <w:numId w:val="10"/>
              </w:numPr>
              <w:ind w:left="720" w:hanging="360"/>
              <w:rPr>
                <w:rFonts w:eastAsiaTheme="minorEastAsia"/>
                <w:sz w:val="22"/>
                <w:szCs w:val="22"/>
              </w:rPr>
            </w:pPr>
            <w:r w:rsidRPr="0A029B80">
              <w:rPr>
                <w:rFonts w:eastAsiaTheme="minorEastAsia"/>
                <w:sz w:val="22"/>
                <w:szCs w:val="22"/>
              </w:rPr>
              <w:t xml:space="preserve">Percent of contracts executed on time; </w:t>
            </w:r>
          </w:p>
          <w:p w14:paraId="6F60612C" w14:textId="54BAF56D" w:rsidR="007A4AF7" w:rsidRPr="006F105C" w:rsidRDefault="6D041225" w:rsidP="2AB85622">
            <w:pPr>
              <w:pStyle w:val="ListParagraph"/>
              <w:numPr>
                <w:ilvl w:val="0"/>
                <w:numId w:val="10"/>
              </w:numPr>
              <w:ind w:left="720" w:hanging="360"/>
              <w:rPr>
                <w:rFonts w:eastAsiaTheme="minorEastAsia"/>
                <w:sz w:val="22"/>
                <w:szCs w:val="22"/>
              </w:rPr>
            </w:pPr>
            <w:r w:rsidRPr="2AB85622">
              <w:rPr>
                <w:rFonts w:eastAsiaTheme="minorEastAsia"/>
                <w:sz w:val="22"/>
                <w:szCs w:val="22"/>
              </w:rPr>
              <w:t xml:space="preserve">Percent of transitioning providers whose key existing contractual performance measures remain at or above pre-transition baseline; </w:t>
            </w:r>
          </w:p>
          <w:p w14:paraId="14490C5B" w14:textId="26E4FF63" w:rsidR="007A4AF7" w:rsidRPr="006F105C" w:rsidRDefault="6D041225" w:rsidP="2AB85622">
            <w:pPr>
              <w:pStyle w:val="ListParagraph"/>
              <w:numPr>
                <w:ilvl w:val="0"/>
                <w:numId w:val="10"/>
              </w:numPr>
              <w:ind w:left="720" w:hanging="360"/>
              <w:rPr>
                <w:rFonts w:eastAsiaTheme="minorEastAsia"/>
                <w:sz w:val="22"/>
                <w:szCs w:val="22"/>
              </w:rPr>
            </w:pPr>
            <w:r w:rsidRPr="2AB85622">
              <w:rPr>
                <w:rFonts w:eastAsiaTheme="minorEastAsia"/>
                <w:sz w:val="22"/>
                <w:szCs w:val="22"/>
              </w:rPr>
              <w:t>Count of programs with identified risk to service continuity because of contract, payment, or other administrative issues; and</w:t>
            </w:r>
          </w:p>
          <w:p w14:paraId="2EA438CB" w14:textId="28C1D28A" w:rsidR="007A4AF7" w:rsidRPr="006F105C" w:rsidRDefault="6D041225" w:rsidP="2AB85622">
            <w:pPr>
              <w:pStyle w:val="ListParagraph"/>
              <w:numPr>
                <w:ilvl w:val="0"/>
                <w:numId w:val="10"/>
              </w:numPr>
              <w:ind w:left="720" w:hanging="360"/>
              <w:rPr>
                <w:rFonts w:eastAsiaTheme="minorEastAsia"/>
                <w:sz w:val="22"/>
                <w:szCs w:val="22"/>
              </w:rPr>
            </w:pPr>
            <w:r w:rsidRPr="2AB85622">
              <w:rPr>
                <w:rFonts w:eastAsiaTheme="minorEastAsia"/>
                <w:sz w:val="22"/>
                <w:szCs w:val="22"/>
              </w:rPr>
              <w:t xml:space="preserve">Number and percent of complete provider invoices paid after the applicable contractual payment standard. </w:t>
            </w:r>
          </w:p>
          <w:p w14:paraId="5B2D6FE9" w14:textId="347AE150" w:rsidR="007A4AF7" w:rsidRPr="006F105C" w:rsidRDefault="6D041225" w:rsidP="2AB85622">
            <w:pPr>
              <w:pStyle w:val="ListParagraph"/>
              <w:spacing w:line="276" w:lineRule="auto"/>
              <w:ind w:left="0"/>
              <w:contextualSpacing w:val="0"/>
              <w:rPr>
                <w:rFonts w:eastAsiaTheme="minorEastAsia"/>
                <w:sz w:val="22"/>
                <w:szCs w:val="22"/>
              </w:rPr>
            </w:pPr>
            <w:r w:rsidRPr="2AB85622">
              <w:rPr>
                <w:rFonts w:eastAsiaTheme="minorEastAsia"/>
                <w:sz w:val="22"/>
                <w:szCs w:val="22"/>
              </w:rPr>
              <w:t xml:space="preserve"> </w:t>
            </w:r>
          </w:p>
          <w:p w14:paraId="1CE65735" w14:textId="5ACF0A9A" w:rsidR="007A4AF7" w:rsidRPr="006F105C" w:rsidRDefault="6D041225" w:rsidP="2AB85622">
            <w:pPr>
              <w:spacing w:line="276" w:lineRule="auto"/>
              <w:rPr>
                <w:rFonts w:eastAsiaTheme="minorEastAsia"/>
                <w:sz w:val="22"/>
                <w:szCs w:val="22"/>
              </w:rPr>
            </w:pPr>
            <w:r w:rsidRPr="2AB85622">
              <w:rPr>
                <w:rFonts w:eastAsiaTheme="minorEastAsia"/>
                <w:sz w:val="22"/>
                <w:szCs w:val="22"/>
              </w:rPr>
              <w:t>Long-term system performance and accountability frameworks will be considered and developed based on the outcome of the Regional Reset Conversations.</w:t>
            </w:r>
          </w:p>
        </w:tc>
      </w:tr>
      <w:tr w:rsidR="007A4AF7" w14:paraId="5891ACB6" w14:textId="77777777" w:rsidTr="0A029B80">
        <w:tc>
          <w:tcPr>
            <w:tcW w:w="3865" w:type="dxa"/>
          </w:tcPr>
          <w:p w14:paraId="2CA25441" w14:textId="77777777" w:rsidR="007A4AF7" w:rsidRPr="001C4B47" w:rsidRDefault="007A4AF7" w:rsidP="2AB85622">
            <w:pPr>
              <w:spacing w:line="279" w:lineRule="auto"/>
              <w:rPr>
                <w:rFonts w:eastAsiaTheme="minorEastAsia"/>
                <w:sz w:val="22"/>
                <w:szCs w:val="22"/>
              </w:rPr>
            </w:pPr>
            <w:r w:rsidRPr="2AB85622">
              <w:rPr>
                <w:rFonts w:eastAsiaTheme="minorEastAsia"/>
                <w:sz w:val="22"/>
                <w:szCs w:val="22"/>
              </w:rPr>
              <w:lastRenderedPageBreak/>
              <w:t>Identification of key risks and tradeoffs associated with each option</w:t>
            </w:r>
          </w:p>
        </w:tc>
        <w:tc>
          <w:tcPr>
            <w:tcW w:w="5670" w:type="dxa"/>
          </w:tcPr>
          <w:p w14:paraId="6A87032C" w14:textId="7952F3EB"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The Executive will make a long-term recommendation following the Regional Reset Conversations and will consider the risks and tradeoffs discussed during those conversations.</w:t>
            </w:r>
          </w:p>
        </w:tc>
      </w:tr>
      <w:tr w:rsidR="007A4AF7" w14:paraId="199CD0D9" w14:textId="77777777" w:rsidTr="0A029B80">
        <w:tc>
          <w:tcPr>
            <w:tcW w:w="3865" w:type="dxa"/>
          </w:tcPr>
          <w:p w14:paraId="679BBA60" w14:textId="77777777" w:rsidR="007A4AF7" w:rsidRPr="00522536" w:rsidRDefault="007A4AF7" w:rsidP="2AB85622">
            <w:pPr>
              <w:spacing w:line="279" w:lineRule="auto"/>
              <w:rPr>
                <w:rFonts w:eastAsiaTheme="minorEastAsia"/>
                <w:sz w:val="22"/>
                <w:szCs w:val="22"/>
              </w:rPr>
            </w:pPr>
            <w:r w:rsidRPr="2AB85622">
              <w:rPr>
                <w:rFonts w:eastAsiaTheme="minorEastAsia"/>
                <w:sz w:val="22"/>
                <w:szCs w:val="22"/>
              </w:rPr>
              <w:t>Recommended timeline for council consideration and decision-making</w:t>
            </w:r>
          </w:p>
        </w:tc>
        <w:tc>
          <w:tcPr>
            <w:tcW w:w="5670" w:type="dxa"/>
          </w:tcPr>
          <w:p w14:paraId="5C49E32B" w14:textId="7C9074C5" w:rsidR="007A4AF7" w:rsidRPr="00AC6366" w:rsidRDefault="6E24EA29" w:rsidP="2AB85622">
            <w:pPr>
              <w:spacing w:line="279" w:lineRule="auto"/>
              <w:rPr>
                <w:rFonts w:eastAsiaTheme="minorEastAsia"/>
                <w:sz w:val="22"/>
                <w:szCs w:val="22"/>
              </w:rPr>
            </w:pPr>
            <w:r w:rsidRPr="2AB85622">
              <w:rPr>
                <w:rFonts w:eastAsiaTheme="minorEastAsia"/>
                <w:sz w:val="22"/>
                <w:szCs w:val="22"/>
              </w:rPr>
              <w:t>The Executive will make a long-term recommendation following the Regional Reset Conversations</w:t>
            </w:r>
            <w:r w:rsidR="0A80814D" w:rsidRPr="2AB85622">
              <w:rPr>
                <w:rFonts w:eastAsiaTheme="minorEastAsia"/>
                <w:sz w:val="22"/>
                <w:szCs w:val="22"/>
              </w:rPr>
              <w:t xml:space="preserve"> to be </w:t>
            </w:r>
            <w:r w:rsidR="1390BE05" w:rsidRPr="2AB85622">
              <w:rPr>
                <w:rFonts w:eastAsiaTheme="minorEastAsia"/>
                <w:sz w:val="22"/>
                <w:szCs w:val="22"/>
              </w:rPr>
              <w:t xml:space="preserve">held through the first quarter of 2027, as </w:t>
            </w:r>
            <w:r w:rsidRPr="2AB85622">
              <w:rPr>
                <w:rFonts w:eastAsiaTheme="minorEastAsia"/>
                <w:sz w:val="22"/>
                <w:szCs w:val="22"/>
              </w:rPr>
              <w:t>discussed in the Contract Transition Plan</w:t>
            </w:r>
            <w:r w:rsidR="5AB6529D" w:rsidRPr="2AB85622">
              <w:rPr>
                <w:rFonts w:eastAsiaTheme="minorEastAsia"/>
                <w:sz w:val="22"/>
                <w:szCs w:val="22"/>
              </w:rPr>
              <w:t>,</w:t>
            </w:r>
            <w:r w:rsidRPr="2AB85622">
              <w:rPr>
                <w:rFonts w:eastAsiaTheme="minorEastAsia"/>
                <w:sz w:val="22"/>
                <w:szCs w:val="22"/>
              </w:rPr>
              <w:t xml:space="preserve"> and will recommend a timeline for council consideration and decision-making as needed.</w:t>
            </w:r>
          </w:p>
        </w:tc>
      </w:tr>
      <w:tr w:rsidR="007A4AF7" w14:paraId="16A75ED7" w14:textId="77777777" w:rsidTr="0A029B80">
        <w:tc>
          <w:tcPr>
            <w:tcW w:w="3865" w:type="dxa"/>
          </w:tcPr>
          <w:p w14:paraId="3004E1B6" w14:textId="77777777" w:rsidR="007A4AF7" w:rsidRPr="00580090" w:rsidRDefault="007A4AF7" w:rsidP="2AB85622">
            <w:pPr>
              <w:spacing w:line="279" w:lineRule="auto"/>
              <w:rPr>
                <w:rFonts w:eastAsiaTheme="minorEastAsia"/>
                <w:sz w:val="22"/>
                <w:szCs w:val="22"/>
              </w:rPr>
            </w:pPr>
            <w:r w:rsidRPr="2AB85622">
              <w:rPr>
                <w:rFonts w:eastAsiaTheme="minorEastAsia"/>
                <w:sz w:val="22"/>
                <w:szCs w:val="22"/>
              </w:rPr>
              <w:t>Assessment of steps necessary to transition contracts and activities currently managed or carried out by the authority.  The assessment should outline transition considerations with regard to HMIS and Coordinated Entry</w:t>
            </w:r>
          </w:p>
        </w:tc>
        <w:tc>
          <w:tcPr>
            <w:tcW w:w="5670" w:type="dxa"/>
          </w:tcPr>
          <w:p w14:paraId="4653C488" w14:textId="77777777" w:rsidR="007A4AF7" w:rsidRPr="00562815" w:rsidRDefault="007A4AF7" w:rsidP="2AB85622">
            <w:pPr>
              <w:spacing w:line="279" w:lineRule="auto"/>
              <w:rPr>
                <w:rFonts w:eastAsiaTheme="minorEastAsia"/>
                <w:sz w:val="22"/>
                <w:szCs w:val="22"/>
              </w:rPr>
            </w:pPr>
            <w:r w:rsidRPr="2AB85622">
              <w:rPr>
                <w:rFonts w:eastAsiaTheme="minorEastAsia"/>
                <w:sz w:val="22"/>
                <w:szCs w:val="22"/>
              </w:rPr>
              <w:t>Steps necessary to transition contracts to DCHS are described in the Contract Transition Plan.  HMIS and Coordinated Entry will continue to be administered and overseen by KCRHA.</w:t>
            </w:r>
          </w:p>
        </w:tc>
      </w:tr>
      <w:tr w:rsidR="007A4AF7" w14:paraId="6900036C" w14:textId="77777777" w:rsidTr="0A029B80">
        <w:tc>
          <w:tcPr>
            <w:tcW w:w="3865" w:type="dxa"/>
          </w:tcPr>
          <w:p w14:paraId="2DEE11E2" w14:textId="77777777" w:rsidR="007A4AF7" w:rsidRPr="002C2A73" w:rsidRDefault="007A4AF7" w:rsidP="2AB85622">
            <w:pPr>
              <w:spacing w:line="279" w:lineRule="auto"/>
              <w:rPr>
                <w:rFonts w:eastAsiaTheme="minorEastAsia"/>
                <w:sz w:val="22"/>
                <w:szCs w:val="22"/>
              </w:rPr>
            </w:pPr>
            <w:r w:rsidRPr="2AB85622">
              <w:rPr>
                <w:rFonts w:eastAsiaTheme="minorEastAsia"/>
                <w:sz w:val="22"/>
                <w:szCs w:val="22"/>
              </w:rPr>
              <w:t>Assessment of impacts of a potential termination of the ILA on the CoC Board and on contracts funded by the CoC</w:t>
            </w:r>
          </w:p>
        </w:tc>
        <w:tc>
          <w:tcPr>
            <w:tcW w:w="5670" w:type="dxa"/>
          </w:tcPr>
          <w:p w14:paraId="2130D249" w14:textId="77777777" w:rsidR="007A4AF7" w:rsidRPr="00DD1B33" w:rsidRDefault="007A4AF7" w:rsidP="2AB85622">
            <w:pPr>
              <w:spacing w:line="279" w:lineRule="auto"/>
              <w:rPr>
                <w:rFonts w:eastAsiaTheme="minorEastAsia"/>
                <w:sz w:val="22"/>
                <w:szCs w:val="22"/>
              </w:rPr>
            </w:pPr>
            <w:r w:rsidRPr="2AB85622">
              <w:rPr>
                <w:rFonts w:eastAsiaTheme="minorEastAsia"/>
                <w:sz w:val="22"/>
                <w:szCs w:val="22"/>
              </w:rPr>
              <w:t>KCRHA will continue to serve as the CoC lead entity for the 2026 NOFO.  Termination of the ILA would preclude the region’s ability to apply for 2026 CoC funding.</w:t>
            </w:r>
          </w:p>
        </w:tc>
      </w:tr>
      <w:tr w:rsidR="007A4AF7" w14:paraId="218AB393" w14:textId="77777777" w:rsidTr="0A029B80">
        <w:tc>
          <w:tcPr>
            <w:tcW w:w="3865" w:type="dxa"/>
          </w:tcPr>
          <w:p w14:paraId="40903C52" w14:textId="77777777" w:rsidR="007A4AF7" w:rsidRPr="00DC5396" w:rsidRDefault="007A4AF7" w:rsidP="2AB85622">
            <w:pPr>
              <w:spacing w:line="279" w:lineRule="auto"/>
              <w:rPr>
                <w:rFonts w:eastAsiaTheme="minorEastAsia"/>
                <w:sz w:val="22"/>
                <w:szCs w:val="22"/>
              </w:rPr>
            </w:pPr>
            <w:r w:rsidRPr="2AB85622">
              <w:rPr>
                <w:rFonts w:eastAsiaTheme="minorEastAsia"/>
                <w:sz w:val="22"/>
                <w:szCs w:val="22"/>
              </w:rPr>
              <w:t xml:space="preserve">Assessment of whether the 12-month period outlined in Article III of the ILA </w:t>
            </w:r>
            <w:r w:rsidRPr="2AB85622">
              <w:rPr>
                <w:rFonts w:eastAsiaTheme="minorEastAsia"/>
                <w:sz w:val="22"/>
                <w:szCs w:val="22"/>
              </w:rPr>
              <w:lastRenderedPageBreak/>
              <w:t>is sufficient to complete transition of activities from the authority to a new entity or entities</w:t>
            </w:r>
          </w:p>
        </w:tc>
        <w:tc>
          <w:tcPr>
            <w:tcW w:w="5670" w:type="dxa"/>
          </w:tcPr>
          <w:p w14:paraId="7866F9D1" w14:textId="12EFE0DF" w:rsidR="007A4AF7" w:rsidRPr="00415337" w:rsidRDefault="007A4AF7" w:rsidP="2AB85622">
            <w:pPr>
              <w:spacing w:line="279" w:lineRule="auto"/>
              <w:rPr>
                <w:rFonts w:eastAsiaTheme="minorEastAsia"/>
                <w:sz w:val="22"/>
                <w:szCs w:val="22"/>
              </w:rPr>
            </w:pPr>
            <w:r w:rsidRPr="2AB85622">
              <w:rPr>
                <w:rFonts w:eastAsiaTheme="minorEastAsia"/>
                <w:sz w:val="22"/>
                <w:szCs w:val="22"/>
              </w:rPr>
              <w:lastRenderedPageBreak/>
              <w:t>The Executive is not recommending termination of the ILA</w:t>
            </w:r>
            <w:r w:rsidR="55C1401E" w:rsidRPr="2AB85622">
              <w:rPr>
                <w:rFonts w:eastAsiaTheme="minorEastAsia"/>
                <w:sz w:val="22"/>
                <w:szCs w:val="22"/>
              </w:rPr>
              <w:t xml:space="preserve"> at this time, so the 12-month period is not applicable.</w:t>
            </w:r>
          </w:p>
        </w:tc>
      </w:tr>
      <w:tr w:rsidR="007A4AF7" w14:paraId="1566F61B" w14:textId="77777777" w:rsidTr="0A029B80">
        <w:tc>
          <w:tcPr>
            <w:tcW w:w="3865" w:type="dxa"/>
          </w:tcPr>
          <w:p w14:paraId="6117D090" w14:textId="77777777" w:rsidR="007A4AF7" w:rsidRPr="00204FDF" w:rsidRDefault="007A4AF7" w:rsidP="2AB85622">
            <w:pPr>
              <w:spacing w:line="279" w:lineRule="auto"/>
              <w:rPr>
                <w:rFonts w:eastAsiaTheme="minorEastAsia"/>
                <w:sz w:val="22"/>
                <w:szCs w:val="22"/>
              </w:rPr>
            </w:pPr>
            <w:r w:rsidRPr="2AB85622">
              <w:rPr>
                <w:rFonts w:eastAsiaTheme="minorEastAsia"/>
                <w:sz w:val="22"/>
                <w:szCs w:val="22"/>
              </w:rPr>
              <w:t>An assessment of the ability and readiness of any county departments that the executive determines should undertake activities currently carried out by the authority</w:t>
            </w:r>
          </w:p>
        </w:tc>
        <w:tc>
          <w:tcPr>
            <w:tcW w:w="5670" w:type="dxa"/>
          </w:tcPr>
          <w:p w14:paraId="69A90D0F" w14:textId="77777777" w:rsidR="007A4AF7" w:rsidRPr="00AE2F9B" w:rsidRDefault="007A4AF7" w:rsidP="2AB85622">
            <w:pPr>
              <w:spacing w:line="279" w:lineRule="auto"/>
              <w:rPr>
                <w:rFonts w:eastAsiaTheme="minorEastAsia"/>
                <w:sz w:val="22"/>
                <w:szCs w:val="22"/>
              </w:rPr>
            </w:pPr>
            <w:r w:rsidRPr="2AB85622">
              <w:rPr>
                <w:rFonts w:eastAsiaTheme="minorEastAsia"/>
                <w:sz w:val="22"/>
                <w:szCs w:val="22"/>
              </w:rPr>
              <w:t>An assessment of the ability and readiness of HCD to administer the County-funded emergency homelessness response contracts is included in the Contract Transition Plan.</w:t>
            </w:r>
          </w:p>
        </w:tc>
      </w:tr>
      <w:tr w:rsidR="007A4AF7" w14:paraId="08F4E7F9" w14:textId="77777777" w:rsidTr="0A029B80">
        <w:tc>
          <w:tcPr>
            <w:tcW w:w="3865" w:type="dxa"/>
          </w:tcPr>
          <w:p w14:paraId="29FC34BD" w14:textId="77777777" w:rsidR="007A4AF7" w:rsidRPr="006F262B" w:rsidRDefault="007A4AF7" w:rsidP="2AB85622">
            <w:pPr>
              <w:spacing w:line="279" w:lineRule="auto"/>
              <w:rPr>
                <w:rFonts w:eastAsiaTheme="minorEastAsia"/>
                <w:sz w:val="22"/>
                <w:szCs w:val="22"/>
              </w:rPr>
            </w:pPr>
            <w:r w:rsidRPr="2AB85622">
              <w:rPr>
                <w:rFonts w:eastAsiaTheme="minorEastAsia"/>
                <w:sz w:val="22"/>
                <w:szCs w:val="22"/>
              </w:rPr>
              <w:t>An assessment of other steps necessary to ensure continued compliance with federal or state funding requirements during any transition of activities or contracts from the authority</w:t>
            </w:r>
          </w:p>
        </w:tc>
        <w:tc>
          <w:tcPr>
            <w:tcW w:w="5670" w:type="dxa"/>
          </w:tcPr>
          <w:p w14:paraId="4B8002B6" w14:textId="1E677B29" w:rsidR="007A4AF7" w:rsidRPr="0086639C" w:rsidRDefault="007A4AF7" w:rsidP="2AB85622">
            <w:pPr>
              <w:spacing w:line="279" w:lineRule="auto"/>
              <w:rPr>
                <w:rFonts w:eastAsiaTheme="minorEastAsia"/>
                <w:sz w:val="22"/>
                <w:szCs w:val="22"/>
              </w:rPr>
            </w:pPr>
            <w:r w:rsidRPr="2AB85622">
              <w:rPr>
                <w:rFonts w:eastAsiaTheme="minorEastAsia"/>
                <w:sz w:val="22"/>
                <w:szCs w:val="22"/>
              </w:rPr>
              <w:t>Any direct contracts between the State of Washington and KCRHA will remain with KCRHA at the discretion of the Department of Commerce.  The financial consultant will consider financial compliance requirements as part of its scope of work.</w:t>
            </w:r>
          </w:p>
        </w:tc>
      </w:tr>
      <w:tr w:rsidR="007A4AF7" w14:paraId="56EA7B4D" w14:textId="77777777" w:rsidTr="0A029B80">
        <w:tc>
          <w:tcPr>
            <w:tcW w:w="3865" w:type="dxa"/>
          </w:tcPr>
          <w:p w14:paraId="3673E57E" w14:textId="77777777" w:rsidR="007A4AF7" w:rsidRPr="0070634F" w:rsidRDefault="007A4AF7" w:rsidP="2AB85622">
            <w:pPr>
              <w:spacing w:line="279" w:lineRule="auto"/>
              <w:rPr>
                <w:rFonts w:eastAsiaTheme="minorEastAsia"/>
                <w:sz w:val="22"/>
                <w:szCs w:val="22"/>
              </w:rPr>
            </w:pPr>
            <w:r w:rsidRPr="2AB85622">
              <w:rPr>
                <w:rFonts w:eastAsiaTheme="minorEastAsia"/>
                <w:sz w:val="22"/>
                <w:szCs w:val="22"/>
              </w:rPr>
              <w:t>An assessment of any other steps necessary to ensure continuation of homelessness response services without reduction in service levels to the extent practicable during any potential transition</w:t>
            </w:r>
          </w:p>
        </w:tc>
        <w:tc>
          <w:tcPr>
            <w:tcW w:w="5670" w:type="dxa"/>
          </w:tcPr>
          <w:p w14:paraId="1737E8CB" w14:textId="77777777" w:rsidR="007A4AF7" w:rsidRPr="00532CF5" w:rsidRDefault="007A4AF7" w:rsidP="2AB85622">
            <w:pPr>
              <w:spacing w:line="279" w:lineRule="auto"/>
              <w:rPr>
                <w:rFonts w:eastAsiaTheme="minorEastAsia"/>
                <w:sz w:val="22"/>
                <w:szCs w:val="22"/>
              </w:rPr>
            </w:pPr>
            <w:r w:rsidRPr="2AB85622">
              <w:rPr>
                <w:rFonts w:eastAsiaTheme="minorEastAsia"/>
                <w:sz w:val="22"/>
                <w:szCs w:val="22"/>
              </w:rPr>
              <w:t>As described in the Contract Transition Plan, the County and City will ramp up staffing through the rest of 2026 and extend existing provider contracts through 2027 to minimize service disruption.</w:t>
            </w:r>
          </w:p>
        </w:tc>
      </w:tr>
      <w:tr w:rsidR="007A4AF7" w14:paraId="5D44BE21" w14:textId="77777777" w:rsidTr="0A029B80">
        <w:tc>
          <w:tcPr>
            <w:tcW w:w="3865" w:type="dxa"/>
          </w:tcPr>
          <w:p w14:paraId="7C8924B7" w14:textId="77777777" w:rsidR="007A4AF7" w:rsidRPr="00D7684A" w:rsidRDefault="007A4AF7" w:rsidP="2AB85622">
            <w:pPr>
              <w:spacing w:line="279" w:lineRule="auto"/>
              <w:rPr>
                <w:rFonts w:eastAsiaTheme="minorEastAsia"/>
                <w:sz w:val="22"/>
                <w:szCs w:val="22"/>
              </w:rPr>
            </w:pPr>
            <w:r w:rsidRPr="2AB85622">
              <w:rPr>
                <w:rFonts w:eastAsiaTheme="minorEastAsia"/>
                <w:sz w:val="22"/>
                <w:szCs w:val="22"/>
              </w:rPr>
              <w:t>An assessment of financial risks during any transition, including cash-flow management, continuity of provider payments, administrative funding needs, and any actions necessary to prevent disruption of contracted services</w:t>
            </w:r>
          </w:p>
        </w:tc>
        <w:tc>
          <w:tcPr>
            <w:tcW w:w="5670" w:type="dxa"/>
          </w:tcPr>
          <w:p w14:paraId="34528854" w14:textId="5C3910F9" w:rsidR="007A4AF7" w:rsidRPr="005E2C2C" w:rsidRDefault="007A4AF7" w:rsidP="2AB85622">
            <w:pPr>
              <w:spacing w:line="279" w:lineRule="auto"/>
              <w:rPr>
                <w:rFonts w:eastAsiaTheme="minorEastAsia"/>
                <w:sz w:val="22"/>
                <w:szCs w:val="22"/>
              </w:rPr>
            </w:pPr>
            <w:r w:rsidRPr="2AB85622">
              <w:rPr>
                <w:rFonts w:eastAsiaTheme="minorEastAsia"/>
                <w:sz w:val="22"/>
                <w:szCs w:val="22"/>
              </w:rPr>
              <w:t xml:space="preserve">Potential </w:t>
            </w:r>
            <w:r w:rsidR="1BBAC3CA" w:rsidRPr="666DB433">
              <w:rPr>
                <w:rFonts w:eastAsiaTheme="minorEastAsia"/>
                <w:sz w:val="22"/>
                <w:szCs w:val="22"/>
              </w:rPr>
              <w:t>financial risks during contract transition</w:t>
            </w:r>
            <w:r w:rsidRPr="2AB85622">
              <w:rPr>
                <w:rFonts w:eastAsiaTheme="minorEastAsia"/>
                <w:sz w:val="22"/>
                <w:szCs w:val="22"/>
              </w:rPr>
              <w:t xml:space="preserve"> and efforts to prevent disruption are described in the Contract Transition Plan.</w:t>
            </w:r>
          </w:p>
        </w:tc>
      </w:tr>
      <w:tr w:rsidR="007A4AF7" w14:paraId="0637E66A" w14:textId="77777777" w:rsidTr="0A029B80">
        <w:tc>
          <w:tcPr>
            <w:tcW w:w="3865" w:type="dxa"/>
          </w:tcPr>
          <w:p w14:paraId="313ED9FF" w14:textId="77777777" w:rsidR="007A4AF7" w:rsidRPr="00765A82" w:rsidRDefault="007A4AF7" w:rsidP="2AB85622">
            <w:pPr>
              <w:spacing w:line="279" w:lineRule="auto"/>
              <w:rPr>
                <w:rFonts w:eastAsiaTheme="minorEastAsia"/>
                <w:sz w:val="22"/>
                <w:szCs w:val="22"/>
              </w:rPr>
            </w:pPr>
            <w:r w:rsidRPr="2AB85622">
              <w:rPr>
                <w:rFonts w:eastAsiaTheme="minorEastAsia"/>
                <w:sz w:val="22"/>
                <w:szCs w:val="22"/>
              </w:rPr>
              <w:t>An outline of any other considerations the executive determines the council should take into account</w:t>
            </w:r>
          </w:p>
        </w:tc>
        <w:tc>
          <w:tcPr>
            <w:tcW w:w="5670" w:type="dxa"/>
          </w:tcPr>
          <w:p w14:paraId="533DD597" w14:textId="03302AB7" w:rsidR="007A4AF7" w:rsidRPr="00275E91" w:rsidRDefault="007A4AF7" w:rsidP="2AB85622">
            <w:pPr>
              <w:tabs>
                <w:tab w:val="left" w:pos="1898"/>
              </w:tabs>
              <w:spacing w:line="279" w:lineRule="auto"/>
              <w:rPr>
                <w:rFonts w:eastAsiaTheme="minorEastAsia"/>
                <w:sz w:val="22"/>
                <w:szCs w:val="22"/>
              </w:rPr>
            </w:pPr>
            <w:r w:rsidRPr="2AB85622">
              <w:rPr>
                <w:rFonts w:eastAsiaTheme="minorEastAsia"/>
                <w:sz w:val="22"/>
                <w:szCs w:val="22"/>
              </w:rPr>
              <w:t xml:space="preserve">The Executive </w:t>
            </w:r>
            <w:r w:rsidR="7410F0CD" w:rsidRPr="2AB85622">
              <w:rPr>
                <w:rFonts w:eastAsiaTheme="minorEastAsia"/>
                <w:sz w:val="22"/>
                <w:szCs w:val="22"/>
              </w:rPr>
              <w:t xml:space="preserve">will welcome </w:t>
            </w:r>
            <w:r w:rsidRPr="2AB85622">
              <w:rPr>
                <w:rFonts w:eastAsiaTheme="minorEastAsia"/>
                <w:sz w:val="22"/>
                <w:szCs w:val="22"/>
              </w:rPr>
              <w:t>councilmembers’ participation in the Regional Reset Conversations, which will help inform any other considerations.</w:t>
            </w:r>
          </w:p>
        </w:tc>
      </w:tr>
      <w:tr w:rsidR="007A4AF7" w14:paraId="5C3E6312" w14:textId="77777777" w:rsidTr="0A029B80">
        <w:tc>
          <w:tcPr>
            <w:tcW w:w="3865" w:type="dxa"/>
          </w:tcPr>
          <w:p w14:paraId="298F1AD8" w14:textId="77777777" w:rsidR="007A4AF7" w:rsidRPr="00765A82" w:rsidRDefault="007A4AF7" w:rsidP="2AB85622">
            <w:pPr>
              <w:spacing w:line="279" w:lineRule="auto"/>
              <w:rPr>
                <w:rFonts w:eastAsiaTheme="minorEastAsia"/>
                <w:sz w:val="22"/>
                <w:szCs w:val="22"/>
              </w:rPr>
            </w:pPr>
            <w:r w:rsidRPr="2AB85622">
              <w:rPr>
                <w:rFonts w:eastAsiaTheme="minorEastAsia"/>
                <w:sz w:val="22"/>
                <w:szCs w:val="22"/>
              </w:rPr>
              <w:t>An update on the status of the implementation of the corrective action plan</w:t>
            </w:r>
          </w:p>
        </w:tc>
        <w:tc>
          <w:tcPr>
            <w:tcW w:w="5670" w:type="dxa"/>
          </w:tcPr>
          <w:p w14:paraId="72059BFE" w14:textId="77777777"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The County and City have embedded a financial consulting firm at KCRHA.  The financial consultant will provide regular reports on KCRHA’s progress in improving its financial management.</w:t>
            </w:r>
          </w:p>
        </w:tc>
      </w:tr>
      <w:tr w:rsidR="007A4AF7" w14:paraId="541FDC9B" w14:textId="77777777" w:rsidTr="0A029B80">
        <w:tc>
          <w:tcPr>
            <w:tcW w:w="3865" w:type="dxa"/>
          </w:tcPr>
          <w:p w14:paraId="606B96DC" w14:textId="77777777" w:rsidR="007A4AF7" w:rsidRPr="00765A82" w:rsidRDefault="007A4AF7" w:rsidP="2AB85622">
            <w:pPr>
              <w:spacing w:line="279" w:lineRule="auto"/>
              <w:rPr>
                <w:rFonts w:eastAsiaTheme="minorEastAsia"/>
                <w:sz w:val="22"/>
                <w:szCs w:val="22"/>
              </w:rPr>
            </w:pPr>
            <w:r w:rsidRPr="2AB85622">
              <w:rPr>
                <w:rFonts w:eastAsiaTheme="minorEastAsia"/>
                <w:sz w:val="22"/>
                <w:szCs w:val="22"/>
              </w:rPr>
              <w:t>If the executive recommends against termination of the ILA, any proposed reforms or changes to the authority</w:t>
            </w:r>
          </w:p>
        </w:tc>
        <w:tc>
          <w:tcPr>
            <w:tcW w:w="5670" w:type="dxa"/>
          </w:tcPr>
          <w:p w14:paraId="1A87504A" w14:textId="18EA0AB3" w:rsidR="007A4AF7" w:rsidRPr="00AC6366" w:rsidRDefault="007A4AF7" w:rsidP="2AB85622">
            <w:pPr>
              <w:spacing w:line="279" w:lineRule="auto"/>
              <w:rPr>
                <w:rFonts w:eastAsiaTheme="minorEastAsia"/>
                <w:b/>
                <w:bCs/>
                <w:sz w:val="22"/>
                <w:szCs w:val="22"/>
              </w:rPr>
            </w:pPr>
            <w:r w:rsidRPr="2AB85622">
              <w:rPr>
                <w:rFonts w:eastAsiaTheme="minorEastAsia"/>
                <w:sz w:val="22"/>
                <w:szCs w:val="22"/>
              </w:rPr>
              <w:t xml:space="preserve"> </w:t>
            </w:r>
            <w:r w:rsidR="5A31F10A" w:rsidRPr="2AB85622">
              <w:rPr>
                <w:rFonts w:eastAsiaTheme="minorEastAsia"/>
                <w:sz w:val="22"/>
                <w:szCs w:val="22"/>
              </w:rPr>
              <w:t>The Executive will make a long-term recommendation following the Regional Reset Conversations to be held through the first quarter of 2027, as discussed in the Contract Transition Plan.</w:t>
            </w:r>
            <w:r w:rsidR="46A61CBF" w:rsidRPr="2AB85622">
              <w:rPr>
                <w:rFonts w:eastAsiaTheme="minorEastAsia"/>
                <w:sz w:val="22"/>
                <w:szCs w:val="22"/>
              </w:rPr>
              <w:t xml:space="preserve">  The County and City have embedded a financial consulting firm at KCRHA to </w:t>
            </w:r>
            <w:r w:rsidR="5C1D1F92" w:rsidRPr="2AB85622">
              <w:rPr>
                <w:rFonts w:eastAsiaTheme="minorEastAsia"/>
                <w:sz w:val="22"/>
                <w:szCs w:val="22"/>
              </w:rPr>
              <w:t xml:space="preserve">bolster KCRHA’s administrative infrastructure by providing financial management support.  The firm will strengthen </w:t>
            </w:r>
            <w:r w:rsidR="5C1D1F92" w:rsidRPr="2AB85622">
              <w:rPr>
                <w:rFonts w:eastAsiaTheme="minorEastAsia"/>
                <w:sz w:val="22"/>
                <w:szCs w:val="22"/>
              </w:rPr>
              <w:lastRenderedPageBreak/>
              <w:t>financial oversight, improve accountability, and position KCRHA to successfully manage public resources and compete for critical federal funding.</w:t>
            </w:r>
            <w:r w:rsidRPr="2AB85622">
              <w:rPr>
                <w:rFonts w:eastAsiaTheme="minorEastAsia"/>
                <w:sz w:val="22"/>
                <w:szCs w:val="22"/>
              </w:rPr>
              <w:t xml:space="preserve"> </w:t>
            </w:r>
          </w:p>
        </w:tc>
      </w:tr>
      <w:tr w:rsidR="007A4AF7" w14:paraId="05DD73B0" w14:textId="77777777" w:rsidTr="0A029B80">
        <w:tc>
          <w:tcPr>
            <w:tcW w:w="3865" w:type="dxa"/>
          </w:tcPr>
          <w:p w14:paraId="655F0936" w14:textId="77777777" w:rsidR="007A4AF7" w:rsidRPr="009B6D7B" w:rsidRDefault="007A4AF7" w:rsidP="2AB85622">
            <w:pPr>
              <w:spacing w:line="279" w:lineRule="auto"/>
              <w:rPr>
                <w:rFonts w:eastAsiaTheme="minorEastAsia"/>
                <w:sz w:val="22"/>
                <w:szCs w:val="22"/>
              </w:rPr>
            </w:pPr>
            <w:r w:rsidRPr="2AB85622">
              <w:rPr>
                <w:rFonts w:eastAsiaTheme="minorEastAsia"/>
                <w:sz w:val="22"/>
                <w:szCs w:val="22"/>
              </w:rPr>
              <w:lastRenderedPageBreak/>
              <w:t>An assessment of the risks to the county’s investment pool and identification of completed or recommended actions to mitigate such risks</w:t>
            </w:r>
          </w:p>
        </w:tc>
        <w:tc>
          <w:tcPr>
            <w:tcW w:w="5670" w:type="dxa"/>
          </w:tcPr>
          <w:p w14:paraId="09F153D5" w14:textId="0367F385" w:rsidR="007A4AF7" w:rsidRPr="00CE7822" w:rsidRDefault="007A4AF7" w:rsidP="2AB85622">
            <w:pPr>
              <w:spacing w:line="279" w:lineRule="auto"/>
              <w:rPr>
                <w:rFonts w:eastAsiaTheme="minorEastAsia"/>
                <w:sz w:val="22"/>
                <w:szCs w:val="22"/>
              </w:rPr>
            </w:pPr>
            <w:r w:rsidRPr="2AB85622">
              <w:rPr>
                <w:rFonts w:eastAsiaTheme="minorEastAsia"/>
                <w:sz w:val="22"/>
                <w:szCs w:val="22"/>
              </w:rPr>
              <w:t>As of June 30</w:t>
            </w:r>
            <w:r w:rsidRPr="2AB85622">
              <w:rPr>
                <w:rFonts w:eastAsiaTheme="minorEastAsia"/>
                <w:sz w:val="22"/>
                <w:szCs w:val="22"/>
                <w:vertAlign w:val="superscript"/>
              </w:rPr>
              <w:t>th</w:t>
            </w:r>
            <w:r w:rsidRPr="2AB85622">
              <w:rPr>
                <w:rFonts w:eastAsiaTheme="minorEastAsia"/>
                <w:sz w:val="22"/>
                <w:szCs w:val="22"/>
              </w:rPr>
              <w:t xml:space="preserve">, KCRHA has a negative cash position of $65M, partly offset by </w:t>
            </w:r>
            <w:r w:rsidR="3888635E" w:rsidRPr="2419AA3A">
              <w:rPr>
                <w:rFonts w:eastAsiaTheme="minorEastAsia"/>
                <w:sz w:val="22"/>
                <w:szCs w:val="22"/>
              </w:rPr>
              <w:t>a</w:t>
            </w:r>
            <w:r w:rsidRPr="2419AA3A">
              <w:rPr>
                <w:rFonts w:eastAsiaTheme="minorEastAsia"/>
                <w:sz w:val="22"/>
                <w:szCs w:val="22"/>
              </w:rPr>
              <w:t xml:space="preserve"> </w:t>
            </w:r>
            <w:r w:rsidRPr="2AB85622">
              <w:rPr>
                <w:rFonts w:eastAsiaTheme="minorEastAsia"/>
                <w:sz w:val="22"/>
                <w:szCs w:val="22"/>
              </w:rPr>
              <w:t>$14M advance for the City of Seattle, leaving about $51M currently unfunded. </w:t>
            </w:r>
          </w:p>
          <w:p w14:paraId="0A29C57C" w14:textId="77777777" w:rsidR="007A4AF7" w:rsidRDefault="007A4AF7" w:rsidP="2AB85622">
            <w:pPr>
              <w:spacing w:line="279" w:lineRule="auto"/>
              <w:rPr>
                <w:rFonts w:eastAsiaTheme="minorEastAsia"/>
                <w:sz w:val="22"/>
                <w:szCs w:val="22"/>
              </w:rPr>
            </w:pPr>
          </w:p>
          <w:p w14:paraId="32E846E6" w14:textId="2BE48DD5" w:rsidR="3157B2B2" w:rsidRDefault="3157B2B2">
            <w:r w:rsidRPr="666DB433">
              <w:rPr>
                <w:rFonts w:ascii="Aptos" w:eastAsia="Aptos" w:hAnsi="Aptos" w:cs="Aptos"/>
                <w:sz w:val="22"/>
                <w:szCs w:val="22"/>
              </w:rPr>
              <w:t xml:space="preserve">Per the ILA with the City of Seattle, the County is the Treasurer for KCRHA. As part of that relationship, KCRHA signed the County’s cash management agreement and investment services agreement.  The cash management agreement allows the County to pay KCRHA’s warrants despite “inadvertent negative balances.”    </w:t>
            </w:r>
          </w:p>
          <w:p w14:paraId="7107A1B3" w14:textId="00CE57A2" w:rsidR="13710A79" w:rsidRDefault="13710A79" w:rsidP="13710A79">
            <w:pPr>
              <w:rPr>
                <w:rFonts w:ascii="Aptos" w:eastAsia="Aptos" w:hAnsi="Aptos" w:cs="Aptos"/>
                <w:sz w:val="22"/>
                <w:szCs w:val="22"/>
              </w:rPr>
            </w:pPr>
          </w:p>
          <w:p w14:paraId="739DC00C" w14:textId="17439223" w:rsidR="007A4AF7" w:rsidRPr="00CE7822" w:rsidRDefault="3157B2B2" w:rsidP="666DB433">
            <w:pPr>
              <w:spacing w:line="279" w:lineRule="auto"/>
              <w:rPr>
                <w:rFonts w:ascii="Aptos" w:eastAsia="Aptos" w:hAnsi="Aptos" w:cs="Aptos"/>
                <w:sz w:val="22"/>
                <w:szCs w:val="22"/>
              </w:rPr>
            </w:pPr>
            <w:r w:rsidRPr="666DB433">
              <w:rPr>
                <w:rFonts w:ascii="Aptos" w:eastAsia="Aptos" w:hAnsi="Aptos" w:cs="Aptos"/>
                <w:sz w:val="22"/>
                <w:szCs w:val="22"/>
              </w:rPr>
              <w:t xml:space="preserve">KCRHA’s negative cash balance presents several risks to the King County Investment Pool, including negative findings by the State Auditor’s Office and repayment uncertainty. </w:t>
            </w:r>
            <w:r w:rsidR="384BFCF0" w:rsidRPr="666DB433">
              <w:rPr>
                <w:rFonts w:ascii="Aptos" w:eastAsia="Aptos" w:hAnsi="Aptos" w:cs="Aptos"/>
                <w:sz w:val="22"/>
                <w:szCs w:val="22"/>
              </w:rPr>
              <w:t>A r</w:t>
            </w:r>
            <w:r w:rsidRPr="666DB433">
              <w:rPr>
                <w:rFonts w:ascii="Aptos" w:eastAsia="Aptos" w:hAnsi="Aptos" w:cs="Aptos"/>
                <w:sz w:val="22"/>
                <w:szCs w:val="22"/>
              </w:rPr>
              <w:t xml:space="preserve">ecommended action to mitigate such risks </w:t>
            </w:r>
            <w:r w:rsidR="0C3B1574" w:rsidRPr="666DB433">
              <w:rPr>
                <w:rFonts w:ascii="Aptos" w:eastAsia="Aptos" w:hAnsi="Aptos" w:cs="Aptos"/>
                <w:sz w:val="22"/>
                <w:szCs w:val="22"/>
              </w:rPr>
              <w:t xml:space="preserve">is </w:t>
            </w:r>
            <w:r w:rsidRPr="666DB433">
              <w:rPr>
                <w:rFonts w:ascii="Aptos" w:eastAsia="Aptos" w:hAnsi="Aptos" w:cs="Aptos"/>
                <w:sz w:val="22"/>
                <w:szCs w:val="22"/>
              </w:rPr>
              <w:t>analysis of the county’s repayment obligations.</w:t>
            </w:r>
          </w:p>
        </w:tc>
      </w:tr>
    </w:tbl>
    <w:p w14:paraId="1BABECFF" w14:textId="77777777" w:rsidR="007A4AF7" w:rsidRPr="00792856" w:rsidRDefault="007A4AF7" w:rsidP="2AB85622">
      <w:pPr>
        <w:spacing w:after="0" w:line="279" w:lineRule="auto"/>
        <w:rPr>
          <w:rFonts w:eastAsiaTheme="minorEastAsia"/>
          <w:b/>
          <w:bCs/>
          <w:sz w:val="22"/>
          <w:szCs w:val="22"/>
        </w:rPr>
      </w:pPr>
    </w:p>
    <w:p w14:paraId="3E4CB549" w14:textId="77777777" w:rsidR="00F33AF4" w:rsidRDefault="00F33AF4" w:rsidP="2AB85622">
      <w:pPr>
        <w:rPr>
          <w:rFonts w:eastAsiaTheme="minorEastAsia"/>
          <w:sz w:val="22"/>
          <w:szCs w:val="22"/>
        </w:rPr>
      </w:pPr>
    </w:p>
    <w:sectPr w:rsidR="00F33AF4" w:rsidSect="007A4AF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450BF" w14:textId="77777777" w:rsidR="0056677F" w:rsidRDefault="0056677F">
      <w:pPr>
        <w:spacing w:after="0" w:line="240" w:lineRule="auto"/>
      </w:pPr>
      <w:r>
        <w:separator/>
      </w:r>
    </w:p>
  </w:endnote>
  <w:endnote w:type="continuationSeparator" w:id="0">
    <w:p w14:paraId="778B3D73" w14:textId="77777777" w:rsidR="0056677F" w:rsidRDefault="00566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7D1F0" w14:textId="77777777" w:rsidR="007A4AF7" w:rsidRDefault="007A4A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31460"/>
      <w:docPartObj>
        <w:docPartGallery w:val="Page Numbers (Bottom of Page)"/>
        <w:docPartUnique/>
      </w:docPartObj>
    </w:sdtPr>
    <w:sdtEndPr>
      <w:rPr>
        <w:noProof/>
      </w:rPr>
    </w:sdtEndPr>
    <w:sdtContent>
      <w:p w14:paraId="0D9F5309" w14:textId="77777777" w:rsidR="007A4AF7" w:rsidRDefault="007A4A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12EF3" w14:textId="77777777" w:rsidR="007A4AF7" w:rsidRDefault="007A4A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B8F05" w14:textId="77777777" w:rsidR="007A4AF7" w:rsidRDefault="007A4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D817D" w14:textId="77777777" w:rsidR="0056677F" w:rsidRDefault="0056677F">
      <w:pPr>
        <w:spacing w:after="0" w:line="240" w:lineRule="auto"/>
      </w:pPr>
      <w:r>
        <w:separator/>
      </w:r>
    </w:p>
  </w:footnote>
  <w:footnote w:type="continuationSeparator" w:id="0">
    <w:p w14:paraId="718B8104" w14:textId="77777777" w:rsidR="0056677F" w:rsidRDefault="00566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FC61C" w14:textId="77777777" w:rsidR="007A4AF7" w:rsidRDefault="007A4A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01F5" w14:textId="468B67D0" w:rsidR="007A4AF7" w:rsidRDefault="007A4A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0B7D6" w14:textId="77777777" w:rsidR="007A4AF7" w:rsidRDefault="007A4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6AAAE"/>
    <w:multiLevelType w:val="hybridMultilevel"/>
    <w:tmpl w:val="FFFFFFFF"/>
    <w:lvl w:ilvl="0" w:tplc="7D8E3B8C">
      <w:start w:val="1"/>
      <w:numFmt w:val="bullet"/>
      <w:lvlText w:val=""/>
      <w:lvlJc w:val="left"/>
      <w:pPr>
        <w:ind w:left="720" w:hanging="360"/>
      </w:pPr>
      <w:rPr>
        <w:rFonts w:ascii="Symbol" w:hAnsi="Symbol" w:hint="default"/>
      </w:rPr>
    </w:lvl>
    <w:lvl w:ilvl="1" w:tplc="CC4C1404">
      <w:start w:val="1"/>
      <w:numFmt w:val="bullet"/>
      <w:lvlText w:val="o"/>
      <w:lvlJc w:val="left"/>
      <w:pPr>
        <w:ind w:left="1440" w:hanging="360"/>
      </w:pPr>
      <w:rPr>
        <w:rFonts w:ascii="Courier New" w:hAnsi="Courier New" w:hint="default"/>
      </w:rPr>
    </w:lvl>
    <w:lvl w:ilvl="2" w:tplc="5DD056FE">
      <w:start w:val="1"/>
      <w:numFmt w:val="bullet"/>
      <w:lvlText w:val=""/>
      <w:lvlJc w:val="left"/>
      <w:pPr>
        <w:ind w:left="2160" w:hanging="360"/>
      </w:pPr>
      <w:rPr>
        <w:rFonts w:ascii="Wingdings" w:hAnsi="Wingdings" w:hint="default"/>
      </w:rPr>
    </w:lvl>
    <w:lvl w:ilvl="3" w:tplc="E6943D24">
      <w:start w:val="1"/>
      <w:numFmt w:val="bullet"/>
      <w:lvlText w:val=""/>
      <w:lvlJc w:val="left"/>
      <w:pPr>
        <w:ind w:left="2880" w:hanging="360"/>
      </w:pPr>
      <w:rPr>
        <w:rFonts w:ascii="Symbol" w:hAnsi="Symbol" w:hint="default"/>
      </w:rPr>
    </w:lvl>
    <w:lvl w:ilvl="4" w:tplc="1D0CA082">
      <w:start w:val="1"/>
      <w:numFmt w:val="bullet"/>
      <w:lvlText w:val="o"/>
      <w:lvlJc w:val="left"/>
      <w:pPr>
        <w:ind w:left="3600" w:hanging="360"/>
      </w:pPr>
      <w:rPr>
        <w:rFonts w:ascii="Courier New" w:hAnsi="Courier New" w:hint="default"/>
      </w:rPr>
    </w:lvl>
    <w:lvl w:ilvl="5" w:tplc="40009614">
      <w:start w:val="1"/>
      <w:numFmt w:val="bullet"/>
      <w:lvlText w:val=""/>
      <w:lvlJc w:val="left"/>
      <w:pPr>
        <w:ind w:left="4320" w:hanging="360"/>
      </w:pPr>
      <w:rPr>
        <w:rFonts w:ascii="Wingdings" w:hAnsi="Wingdings" w:hint="default"/>
      </w:rPr>
    </w:lvl>
    <w:lvl w:ilvl="6" w:tplc="E896820C">
      <w:start w:val="1"/>
      <w:numFmt w:val="bullet"/>
      <w:lvlText w:val=""/>
      <w:lvlJc w:val="left"/>
      <w:pPr>
        <w:ind w:left="5040" w:hanging="360"/>
      </w:pPr>
      <w:rPr>
        <w:rFonts w:ascii="Symbol" w:hAnsi="Symbol" w:hint="default"/>
      </w:rPr>
    </w:lvl>
    <w:lvl w:ilvl="7" w:tplc="8C4A8B42">
      <w:start w:val="1"/>
      <w:numFmt w:val="bullet"/>
      <w:lvlText w:val="o"/>
      <w:lvlJc w:val="left"/>
      <w:pPr>
        <w:ind w:left="5760" w:hanging="360"/>
      </w:pPr>
      <w:rPr>
        <w:rFonts w:ascii="Courier New" w:hAnsi="Courier New" w:hint="default"/>
      </w:rPr>
    </w:lvl>
    <w:lvl w:ilvl="8" w:tplc="CD640C8C">
      <w:start w:val="1"/>
      <w:numFmt w:val="bullet"/>
      <w:lvlText w:val=""/>
      <w:lvlJc w:val="left"/>
      <w:pPr>
        <w:ind w:left="6480" w:hanging="360"/>
      </w:pPr>
      <w:rPr>
        <w:rFonts w:ascii="Wingdings" w:hAnsi="Wingdings" w:hint="default"/>
      </w:rPr>
    </w:lvl>
  </w:abstractNum>
  <w:abstractNum w:abstractNumId="1" w15:restartNumberingAfterBreak="0">
    <w:nsid w:val="299C5048"/>
    <w:multiLevelType w:val="hybridMultilevel"/>
    <w:tmpl w:val="FFFFFFFF"/>
    <w:lvl w:ilvl="0" w:tplc="5068F892">
      <w:start w:val="1"/>
      <w:numFmt w:val="bullet"/>
      <w:lvlText w:val=""/>
      <w:lvlJc w:val="left"/>
      <w:pPr>
        <w:ind w:left="720" w:hanging="360"/>
      </w:pPr>
      <w:rPr>
        <w:rFonts w:ascii="Symbol" w:hAnsi="Symbol" w:hint="default"/>
      </w:rPr>
    </w:lvl>
    <w:lvl w:ilvl="1" w:tplc="9984DF00">
      <w:start w:val="1"/>
      <w:numFmt w:val="bullet"/>
      <w:lvlText w:val="o"/>
      <w:lvlJc w:val="left"/>
      <w:pPr>
        <w:ind w:left="1440" w:hanging="360"/>
      </w:pPr>
      <w:rPr>
        <w:rFonts w:ascii="Courier New" w:hAnsi="Courier New" w:hint="default"/>
      </w:rPr>
    </w:lvl>
    <w:lvl w:ilvl="2" w:tplc="AC5CBE3A">
      <w:start w:val="1"/>
      <w:numFmt w:val="bullet"/>
      <w:lvlText w:val=""/>
      <w:lvlJc w:val="left"/>
      <w:pPr>
        <w:ind w:left="2160" w:hanging="360"/>
      </w:pPr>
      <w:rPr>
        <w:rFonts w:ascii="Wingdings" w:hAnsi="Wingdings" w:hint="default"/>
      </w:rPr>
    </w:lvl>
    <w:lvl w:ilvl="3" w:tplc="56EAB9BC">
      <w:start w:val="1"/>
      <w:numFmt w:val="bullet"/>
      <w:lvlText w:val=""/>
      <w:lvlJc w:val="left"/>
      <w:pPr>
        <w:ind w:left="2880" w:hanging="360"/>
      </w:pPr>
      <w:rPr>
        <w:rFonts w:ascii="Symbol" w:hAnsi="Symbol" w:hint="default"/>
      </w:rPr>
    </w:lvl>
    <w:lvl w:ilvl="4" w:tplc="1A626048">
      <w:start w:val="1"/>
      <w:numFmt w:val="bullet"/>
      <w:lvlText w:val="o"/>
      <w:lvlJc w:val="left"/>
      <w:pPr>
        <w:ind w:left="3600" w:hanging="360"/>
      </w:pPr>
      <w:rPr>
        <w:rFonts w:ascii="Courier New" w:hAnsi="Courier New" w:hint="default"/>
      </w:rPr>
    </w:lvl>
    <w:lvl w:ilvl="5" w:tplc="1A5CA460">
      <w:start w:val="1"/>
      <w:numFmt w:val="bullet"/>
      <w:lvlText w:val=""/>
      <w:lvlJc w:val="left"/>
      <w:pPr>
        <w:ind w:left="4320" w:hanging="360"/>
      </w:pPr>
      <w:rPr>
        <w:rFonts w:ascii="Wingdings" w:hAnsi="Wingdings" w:hint="default"/>
      </w:rPr>
    </w:lvl>
    <w:lvl w:ilvl="6" w:tplc="95D21C2A">
      <w:start w:val="1"/>
      <w:numFmt w:val="bullet"/>
      <w:lvlText w:val=""/>
      <w:lvlJc w:val="left"/>
      <w:pPr>
        <w:ind w:left="5040" w:hanging="360"/>
      </w:pPr>
      <w:rPr>
        <w:rFonts w:ascii="Symbol" w:hAnsi="Symbol" w:hint="default"/>
      </w:rPr>
    </w:lvl>
    <w:lvl w:ilvl="7" w:tplc="F2AC68D0">
      <w:start w:val="1"/>
      <w:numFmt w:val="bullet"/>
      <w:lvlText w:val="o"/>
      <w:lvlJc w:val="left"/>
      <w:pPr>
        <w:ind w:left="5760" w:hanging="360"/>
      </w:pPr>
      <w:rPr>
        <w:rFonts w:ascii="Courier New" w:hAnsi="Courier New" w:hint="default"/>
      </w:rPr>
    </w:lvl>
    <w:lvl w:ilvl="8" w:tplc="8BB08B56">
      <w:start w:val="1"/>
      <w:numFmt w:val="bullet"/>
      <w:lvlText w:val=""/>
      <w:lvlJc w:val="left"/>
      <w:pPr>
        <w:ind w:left="6480" w:hanging="360"/>
      </w:pPr>
      <w:rPr>
        <w:rFonts w:ascii="Wingdings" w:hAnsi="Wingdings" w:hint="default"/>
      </w:rPr>
    </w:lvl>
  </w:abstractNum>
  <w:abstractNum w:abstractNumId="2" w15:restartNumberingAfterBreak="0">
    <w:nsid w:val="2B14DBCF"/>
    <w:multiLevelType w:val="hybridMultilevel"/>
    <w:tmpl w:val="70365F06"/>
    <w:lvl w:ilvl="0" w:tplc="FFFFFFFF">
      <w:start w:val="1"/>
      <w:numFmt w:val="bullet"/>
      <w:lvlText w:val=""/>
      <w:lvlJc w:val="left"/>
      <w:pPr>
        <w:ind w:left="403" w:hanging="259"/>
      </w:pPr>
      <w:rPr>
        <w:rFonts w:ascii="Symbol" w:hAnsi="Symbol" w:hint="default"/>
      </w:rPr>
    </w:lvl>
    <w:lvl w:ilvl="1" w:tplc="8F8ED014">
      <w:numFmt w:val="decimal"/>
      <w:lvlText w:val=""/>
      <w:lvlJc w:val="left"/>
    </w:lvl>
    <w:lvl w:ilvl="2" w:tplc="271A9422">
      <w:numFmt w:val="decimal"/>
      <w:lvlText w:val=""/>
      <w:lvlJc w:val="left"/>
    </w:lvl>
    <w:lvl w:ilvl="3" w:tplc="757EFAB6">
      <w:numFmt w:val="decimal"/>
      <w:lvlText w:val=""/>
      <w:lvlJc w:val="left"/>
    </w:lvl>
    <w:lvl w:ilvl="4" w:tplc="B5587F92">
      <w:numFmt w:val="decimal"/>
      <w:lvlText w:val=""/>
      <w:lvlJc w:val="left"/>
    </w:lvl>
    <w:lvl w:ilvl="5" w:tplc="68E44E3A">
      <w:numFmt w:val="decimal"/>
      <w:lvlText w:val=""/>
      <w:lvlJc w:val="left"/>
    </w:lvl>
    <w:lvl w:ilvl="6" w:tplc="8D2C39D6">
      <w:numFmt w:val="decimal"/>
      <w:lvlText w:val=""/>
      <w:lvlJc w:val="left"/>
    </w:lvl>
    <w:lvl w:ilvl="7" w:tplc="2F0675BC">
      <w:numFmt w:val="decimal"/>
      <w:lvlText w:val=""/>
      <w:lvlJc w:val="left"/>
    </w:lvl>
    <w:lvl w:ilvl="8" w:tplc="36A264F4">
      <w:numFmt w:val="decimal"/>
      <w:lvlText w:val=""/>
      <w:lvlJc w:val="left"/>
    </w:lvl>
  </w:abstractNum>
  <w:abstractNum w:abstractNumId="3" w15:restartNumberingAfterBreak="0">
    <w:nsid w:val="37793109"/>
    <w:multiLevelType w:val="hybridMultilevel"/>
    <w:tmpl w:val="FFFFFFFF"/>
    <w:lvl w:ilvl="0" w:tplc="8462482C">
      <w:start w:val="1"/>
      <w:numFmt w:val="bullet"/>
      <w:lvlText w:val=""/>
      <w:lvlJc w:val="left"/>
      <w:pPr>
        <w:ind w:left="720" w:hanging="360"/>
      </w:pPr>
      <w:rPr>
        <w:rFonts w:ascii="Symbol" w:hAnsi="Symbol" w:hint="default"/>
      </w:rPr>
    </w:lvl>
    <w:lvl w:ilvl="1" w:tplc="5266630A">
      <w:start w:val="1"/>
      <w:numFmt w:val="bullet"/>
      <w:lvlText w:val="o"/>
      <w:lvlJc w:val="left"/>
      <w:pPr>
        <w:ind w:left="1440" w:hanging="360"/>
      </w:pPr>
      <w:rPr>
        <w:rFonts w:ascii="Courier New" w:hAnsi="Courier New" w:hint="default"/>
      </w:rPr>
    </w:lvl>
    <w:lvl w:ilvl="2" w:tplc="067C1F3A">
      <w:start w:val="1"/>
      <w:numFmt w:val="bullet"/>
      <w:lvlText w:val=""/>
      <w:lvlJc w:val="left"/>
      <w:pPr>
        <w:ind w:left="2160" w:hanging="360"/>
      </w:pPr>
      <w:rPr>
        <w:rFonts w:ascii="Wingdings" w:hAnsi="Wingdings" w:hint="default"/>
      </w:rPr>
    </w:lvl>
    <w:lvl w:ilvl="3" w:tplc="6566625A">
      <w:start w:val="1"/>
      <w:numFmt w:val="bullet"/>
      <w:lvlText w:val=""/>
      <w:lvlJc w:val="left"/>
      <w:pPr>
        <w:ind w:left="2880" w:hanging="360"/>
      </w:pPr>
      <w:rPr>
        <w:rFonts w:ascii="Symbol" w:hAnsi="Symbol" w:hint="default"/>
      </w:rPr>
    </w:lvl>
    <w:lvl w:ilvl="4" w:tplc="8A66EA94">
      <w:start w:val="1"/>
      <w:numFmt w:val="bullet"/>
      <w:lvlText w:val="o"/>
      <w:lvlJc w:val="left"/>
      <w:pPr>
        <w:ind w:left="3600" w:hanging="360"/>
      </w:pPr>
      <w:rPr>
        <w:rFonts w:ascii="Courier New" w:hAnsi="Courier New" w:hint="default"/>
      </w:rPr>
    </w:lvl>
    <w:lvl w:ilvl="5" w:tplc="CE6EF022">
      <w:start w:val="1"/>
      <w:numFmt w:val="bullet"/>
      <w:lvlText w:val=""/>
      <w:lvlJc w:val="left"/>
      <w:pPr>
        <w:ind w:left="4320" w:hanging="360"/>
      </w:pPr>
      <w:rPr>
        <w:rFonts w:ascii="Wingdings" w:hAnsi="Wingdings" w:hint="default"/>
      </w:rPr>
    </w:lvl>
    <w:lvl w:ilvl="6" w:tplc="D8AA7C3C">
      <w:start w:val="1"/>
      <w:numFmt w:val="bullet"/>
      <w:lvlText w:val=""/>
      <w:lvlJc w:val="left"/>
      <w:pPr>
        <w:ind w:left="5040" w:hanging="360"/>
      </w:pPr>
      <w:rPr>
        <w:rFonts w:ascii="Symbol" w:hAnsi="Symbol" w:hint="default"/>
      </w:rPr>
    </w:lvl>
    <w:lvl w:ilvl="7" w:tplc="7B280C58">
      <w:start w:val="1"/>
      <w:numFmt w:val="bullet"/>
      <w:lvlText w:val="o"/>
      <w:lvlJc w:val="left"/>
      <w:pPr>
        <w:ind w:left="5760" w:hanging="360"/>
      </w:pPr>
      <w:rPr>
        <w:rFonts w:ascii="Courier New" w:hAnsi="Courier New" w:hint="default"/>
      </w:rPr>
    </w:lvl>
    <w:lvl w:ilvl="8" w:tplc="EA266A60">
      <w:start w:val="1"/>
      <w:numFmt w:val="bullet"/>
      <w:lvlText w:val=""/>
      <w:lvlJc w:val="left"/>
      <w:pPr>
        <w:ind w:left="6480" w:hanging="360"/>
      </w:pPr>
      <w:rPr>
        <w:rFonts w:ascii="Wingdings" w:hAnsi="Wingdings" w:hint="default"/>
      </w:rPr>
    </w:lvl>
  </w:abstractNum>
  <w:abstractNum w:abstractNumId="4" w15:restartNumberingAfterBreak="0">
    <w:nsid w:val="3B120C9C"/>
    <w:multiLevelType w:val="hybridMultilevel"/>
    <w:tmpl w:val="FFFFFFFF"/>
    <w:lvl w:ilvl="0" w:tplc="95FEA35A">
      <w:start w:val="1"/>
      <w:numFmt w:val="bullet"/>
      <w:lvlText w:val=""/>
      <w:lvlJc w:val="left"/>
      <w:pPr>
        <w:ind w:left="720" w:hanging="360"/>
      </w:pPr>
      <w:rPr>
        <w:rFonts w:ascii="Symbol" w:hAnsi="Symbol" w:hint="default"/>
      </w:rPr>
    </w:lvl>
    <w:lvl w:ilvl="1" w:tplc="2508F644">
      <w:start w:val="1"/>
      <w:numFmt w:val="bullet"/>
      <w:lvlText w:val="o"/>
      <w:lvlJc w:val="left"/>
      <w:pPr>
        <w:ind w:left="1440" w:hanging="360"/>
      </w:pPr>
      <w:rPr>
        <w:rFonts w:ascii="Courier New" w:hAnsi="Courier New" w:hint="default"/>
      </w:rPr>
    </w:lvl>
    <w:lvl w:ilvl="2" w:tplc="36640A8C">
      <w:start w:val="1"/>
      <w:numFmt w:val="bullet"/>
      <w:lvlText w:val=""/>
      <w:lvlJc w:val="left"/>
      <w:pPr>
        <w:ind w:left="2160" w:hanging="360"/>
      </w:pPr>
      <w:rPr>
        <w:rFonts w:ascii="Wingdings" w:hAnsi="Wingdings" w:hint="default"/>
      </w:rPr>
    </w:lvl>
    <w:lvl w:ilvl="3" w:tplc="1116EB66">
      <w:start w:val="1"/>
      <w:numFmt w:val="bullet"/>
      <w:lvlText w:val=""/>
      <w:lvlJc w:val="left"/>
      <w:pPr>
        <w:ind w:left="2880" w:hanging="360"/>
      </w:pPr>
      <w:rPr>
        <w:rFonts w:ascii="Symbol" w:hAnsi="Symbol" w:hint="default"/>
      </w:rPr>
    </w:lvl>
    <w:lvl w:ilvl="4" w:tplc="2C228F8E">
      <w:start w:val="1"/>
      <w:numFmt w:val="bullet"/>
      <w:lvlText w:val="o"/>
      <w:lvlJc w:val="left"/>
      <w:pPr>
        <w:ind w:left="3600" w:hanging="360"/>
      </w:pPr>
      <w:rPr>
        <w:rFonts w:ascii="Courier New" w:hAnsi="Courier New" w:hint="default"/>
      </w:rPr>
    </w:lvl>
    <w:lvl w:ilvl="5" w:tplc="E5A69832">
      <w:start w:val="1"/>
      <w:numFmt w:val="bullet"/>
      <w:lvlText w:val=""/>
      <w:lvlJc w:val="left"/>
      <w:pPr>
        <w:ind w:left="4320" w:hanging="360"/>
      </w:pPr>
      <w:rPr>
        <w:rFonts w:ascii="Wingdings" w:hAnsi="Wingdings" w:hint="default"/>
      </w:rPr>
    </w:lvl>
    <w:lvl w:ilvl="6" w:tplc="3C6674CE">
      <w:start w:val="1"/>
      <w:numFmt w:val="bullet"/>
      <w:lvlText w:val=""/>
      <w:lvlJc w:val="left"/>
      <w:pPr>
        <w:ind w:left="5040" w:hanging="360"/>
      </w:pPr>
      <w:rPr>
        <w:rFonts w:ascii="Symbol" w:hAnsi="Symbol" w:hint="default"/>
      </w:rPr>
    </w:lvl>
    <w:lvl w:ilvl="7" w:tplc="7D5CC218">
      <w:start w:val="1"/>
      <w:numFmt w:val="bullet"/>
      <w:lvlText w:val="o"/>
      <w:lvlJc w:val="left"/>
      <w:pPr>
        <w:ind w:left="5760" w:hanging="360"/>
      </w:pPr>
      <w:rPr>
        <w:rFonts w:ascii="Courier New" w:hAnsi="Courier New" w:hint="default"/>
      </w:rPr>
    </w:lvl>
    <w:lvl w:ilvl="8" w:tplc="88906D4C">
      <w:start w:val="1"/>
      <w:numFmt w:val="bullet"/>
      <w:lvlText w:val=""/>
      <w:lvlJc w:val="left"/>
      <w:pPr>
        <w:ind w:left="6480" w:hanging="360"/>
      </w:pPr>
      <w:rPr>
        <w:rFonts w:ascii="Wingdings" w:hAnsi="Wingdings" w:hint="default"/>
      </w:rPr>
    </w:lvl>
  </w:abstractNum>
  <w:abstractNum w:abstractNumId="5" w15:restartNumberingAfterBreak="0">
    <w:nsid w:val="586F6487"/>
    <w:multiLevelType w:val="hybridMultilevel"/>
    <w:tmpl w:val="C68C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9E7CFF"/>
    <w:multiLevelType w:val="hybridMultilevel"/>
    <w:tmpl w:val="406E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37767D"/>
    <w:multiLevelType w:val="hybridMultilevel"/>
    <w:tmpl w:val="FFFFFFFF"/>
    <w:lvl w:ilvl="0" w:tplc="B2B43E7C">
      <w:start w:val="1"/>
      <w:numFmt w:val="bullet"/>
      <w:lvlText w:val=""/>
      <w:lvlJc w:val="left"/>
      <w:pPr>
        <w:ind w:left="720" w:hanging="360"/>
      </w:pPr>
      <w:rPr>
        <w:rFonts w:ascii="Symbol" w:hAnsi="Symbol" w:hint="default"/>
      </w:rPr>
    </w:lvl>
    <w:lvl w:ilvl="1" w:tplc="67C2DCD4">
      <w:start w:val="1"/>
      <w:numFmt w:val="bullet"/>
      <w:lvlText w:val="o"/>
      <w:lvlJc w:val="left"/>
      <w:pPr>
        <w:ind w:left="1440" w:hanging="360"/>
      </w:pPr>
      <w:rPr>
        <w:rFonts w:ascii="Courier New" w:hAnsi="Courier New" w:hint="default"/>
      </w:rPr>
    </w:lvl>
    <w:lvl w:ilvl="2" w:tplc="3FAE51EC">
      <w:start w:val="1"/>
      <w:numFmt w:val="bullet"/>
      <w:lvlText w:val=""/>
      <w:lvlJc w:val="left"/>
      <w:pPr>
        <w:ind w:left="2160" w:hanging="360"/>
      </w:pPr>
      <w:rPr>
        <w:rFonts w:ascii="Wingdings" w:hAnsi="Wingdings" w:hint="default"/>
      </w:rPr>
    </w:lvl>
    <w:lvl w:ilvl="3" w:tplc="57D8532C">
      <w:start w:val="1"/>
      <w:numFmt w:val="bullet"/>
      <w:lvlText w:val=""/>
      <w:lvlJc w:val="left"/>
      <w:pPr>
        <w:ind w:left="2880" w:hanging="360"/>
      </w:pPr>
      <w:rPr>
        <w:rFonts w:ascii="Symbol" w:hAnsi="Symbol" w:hint="default"/>
      </w:rPr>
    </w:lvl>
    <w:lvl w:ilvl="4" w:tplc="30B4BF06">
      <w:start w:val="1"/>
      <w:numFmt w:val="bullet"/>
      <w:lvlText w:val="o"/>
      <w:lvlJc w:val="left"/>
      <w:pPr>
        <w:ind w:left="3600" w:hanging="360"/>
      </w:pPr>
      <w:rPr>
        <w:rFonts w:ascii="Courier New" w:hAnsi="Courier New" w:hint="default"/>
      </w:rPr>
    </w:lvl>
    <w:lvl w:ilvl="5" w:tplc="C8CA7744">
      <w:start w:val="1"/>
      <w:numFmt w:val="bullet"/>
      <w:lvlText w:val=""/>
      <w:lvlJc w:val="left"/>
      <w:pPr>
        <w:ind w:left="4320" w:hanging="360"/>
      </w:pPr>
      <w:rPr>
        <w:rFonts w:ascii="Wingdings" w:hAnsi="Wingdings" w:hint="default"/>
      </w:rPr>
    </w:lvl>
    <w:lvl w:ilvl="6" w:tplc="D882B40E">
      <w:start w:val="1"/>
      <w:numFmt w:val="bullet"/>
      <w:lvlText w:val=""/>
      <w:lvlJc w:val="left"/>
      <w:pPr>
        <w:ind w:left="5040" w:hanging="360"/>
      </w:pPr>
      <w:rPr>
        <w:rFonts w:ascii="Symbol" w:hAnsi="Symbol" w:hint="default"/>
      </w:rPr>
    </w:lvl>
    <w:lvl w:ilvl="7" w:tplc="35708774">
      <w:start w:val="1"/>
      <w:numFmt w:val="bullet"/>
      <w:lvlText w:val="o"/>
      <w:lvlJc w:val="left"/>
      <w:pPr>
        <w:ind w:left="5760" w:hanging="360"/>
      </w:pPr>
      <w:rPr>
        <w:rFonts w:ascii="Courier New" w:hAnsi="Courier New" w:hint="default"/>
      </w:rPr>
    </w:lvl>
    <w:lvl w:ilvl="8" w:tplc="13003D3A">
      <w:start w:val="1"/>
      <w:numFmt w:val="bullet"/>
      <w:lvlText w:val=""/>
      <w:lvlJc w:val="left"/>
      <w:pPr>
        <w:ind w:left="6480" w:hanging="360"/>
      </w:pPr>
      <w:rPr>
        <w:rFonts w:ascii="Wingdings" w:hAnsi="Wingdings" w:hint="default"/>
      </w:rPr>
    </w:lvl>
  </w:abstractNum>
  <w:abstractNum w:abstractNumId="8" w15:restartNumberingAfterBreak="0">
    <w:nsid w:val="72217CEF"/>
    <w:multiLevelType w:val="hybridMultilevel"/>
    <w:tmpl w:val="FFFFFFFF"/>
    <w:lvl w:ilvl="0" w:tplc="35EC04AE">
      <w:start w:val="1"/>
      <w:numFmt w:val="bullet"/>
      <w:lvlText w:val=""/>
      <w:lvlJc w:val="left"/>
      <w:pPr>
        <w:ind w:left="720" w:hanging="360"/>
      </w:pPr>
      <w:rPr>
        <w:rFonts w:ascii="Symbol" w:hAnsi="Symbol" w:hint="default"/>
      </w:rPr>
    </w:lvl>
    <w:lvl w:ilvl="1" w:tplc="02C6A9D6">
      <w:start w:val="1"/>
      <w:numFmt w:val="bullet"/>
      <w:lvlText w:val="o"/>
      <w:lvlJc w:val="left"/>
      <w:pPr>
        <w:ind w:left="1440" w:hanging="360"/>
      </w:pPr>
      <w:rPr>
        <w:rFonts w:ascii="Courier New" w:hAnsi="Courier New" w:hint="default"/>
      </w:rPr>
    </w:lvl>
    <w:lvl w:ilvl="2" w:tplc="E4AE8F74">
      <w:start w:val="1"/>
      <w:numFmt w:val="bullet"/>
      <w:lvlText w:val=""/>
      <w:lvlJc w:val="left"/>
      <w:pPr>
        <w:ind w:left="2160" w:hanging="360"/>
      </w:pPr>
      <w:rPr>
        <w:rFonts w:ascii="Wingdings" w:hAnsi="Wingdings" w:hint="default"/>
      </w:rPr>
    </w:lvl>
    <w:lvl w:ilvl="3" w:tplc="C552685E">
      <w:start w:val="1"/>
      <w:numFmt w:val="bullet"/>
      <w:lvlText w:val=""/>
      <w:lvlJc w:val="left"/>
      <w:pPr>
        <w:ind w:left="2880" w:hanging="360"/>
      </w:pPr>
      <w:rPr>
        <w:rFonts w:ascii="Symbol" w:hAnsi="Symbol" w:hint="default"/>
      </w:rPr>
    </w:lvl>
    <w:lvl w:ilvl="4" w:tplc="68503E76">
      <w:start w:val="1"/>
      <w:numFmt w:val="bullet"/>
      <w:lvlText w:val="o"/>
      <w:lvlJc w:val="left"/>
      <w:pPr>
        <w:ind w:left="3600" w:hanging="360"/>
      </w:pPr>
      <w:rPr>
        <w:rFonts w:ascii="Courier New" w:hAnsi="Courier New" w:hint="default"/>
      </w:rPr>
    </w:lvl>
    <w:lvl w:ilvl="5" w:tplc="9C04AE3E">
      <w:start w:val="1"/>
      <w:numFmt w:val="bullet"/>
      <w:lvlText w:val=""/>
      <w:lvlJc w:val="left"/>
      <w:pPr>
        <w:ind w:left="4320" w:hanging="360"/>
      </w:pPr>
      <w:rPr>
        <w:rFonts w:ascii="Wingdings" w:hAnsi="Wingdings" w:hint="default"/>
      </w:rPr>
    </w:lvl>
    <w:lvl w:ilvl="6" w:tplc="370A0478">
      <w:start w:val="1"/>
      <w:numFmt w:val="bullet"/>
      <w:lvlText w:val=""/>
      <w:lvlJc w:val="left"/>
      <w:pPr>
        <w:ind w:left="5040" w:hanging="360"/>
      </w:pPr>
      <w:rPr>
        <w:rFonts w:ascii="Symbol" w:hAnsi="Symbol" w:hint="default"/>
      </w:rPr>
    </w:lvl>
    <w:lvl w:ilvl="7" w:tplc="BC42C6EC">
      <w:start w:val="1"/>
      <w:numFmt w:val="bullet"/>
      <w:lvlText w:val="o"/>
      <w:lvlJc w:val="left"/>
      <w:pPr>
        <w:ind w:left="5760" w:hanging="360"/>
      </w:pPr>
      <w:rPr>
        <w:rFonts w:ascii="Courier New" w:hAnsi="Courier New" w:hint="default"/>
      </w:rPr>
    </w:lvl>
    <w:lvl w:ilvl="8" w:tplc="E27AF5AE">
      <w:start w:val="1"/>
      <w:numFmt w:val="bullet"/>
      <w:lvlText w:val=""/>
      <w:lvlJc w:val="left"/>
      <w:pPr>
        <w:ind w:left="6480" w:hanging="360"/>
      </w:pPr>
      <w:rPr>
        <w:rFonts w:ascii="Wingdings" w:hAnsi="Wingdings" w:hint="default"/>
      </w:rPr>
    </w:lvl>
  </w:abstractNum>
  <w:abstractNum w:abstractNumId="9" w15:restartNumberingAfterBreak="0">
    <w:nsid w:val="7CD1A2F1"/>
    <w:multiLevelType w:val="hybridMultilevel"/>
    <w:tmpl w:val="8C0C4C00"/>
    <w:lvl w:ilvl="0" w:tplc="31CA8450">
      <w:start w:val="1"/>
      <w:numFmt w:val="bullet"/>
      <w:lvlText w:val=""/>
      <w:lvlJc w:val="left"/>
      <w:pPr>
        <w:ind w:left="720" w:hanging="360"/>
      </w:pPr>
      <w:rPr>
        <w:rFonts w:ascii="Symbol" w:hAnsi="Symbol" w:hint="default"/>
      </w:rPr>
    </w:lvl>
    <w:lvl w:ilvl="1" w:tplc="92AAF51C">
      <w:start w:val="1"/>
      <w:numFmt w:val="bullet"/>
      <w:lvlText w:val="o"/>
      <w:lvlJc w:val="left"/>
      <w:pPr>
        <w:ind w:left="1440" w:hanging="360"/>
      </w:pPr>
      <w:rPr>
        <w:rFonts w:ascii="Courier New" w:hAnsi="Courier New" w:hint="default"/>
      </w:rPr>
    </w:lvl>
    <w:lvl w:ilvl="2" w:tplc="D93A1414">
      <w:start w:val="1"/>
      <w:numFmt w:val="bullet"/>
      <w:lvlText w:val=""/>
      <w:lvlJc w:val="left"/>
      <w:pPr>
        <w:ind w:left="2160" w:hanging="360"/>
      </w:pPr>
      <w:rPr>
        <w:rFonts w:ascii="Wingdings" w:hAnsi="Wingdings" w:hint="default"/>
      </w:rPr>
    </w:lvl>
    <w:lvl w:ilvl="3" w:tplc="B2C0ECA6">
      <w:start w:val="1"/>
      <w:numFmt w:val="bullet"/>
      <w:lvlText w:val=""/>
      <w:lvlJc w:val="left"/>
      <w:pPr>
        <w:ind w:left="2880" w:hanging="360"/>
      </w:pPr>
      <w:rPr>
        <w:rFonts w:ascii="Symbol" w:hAnsi="Symbol" w:hint="default"/>
      </w:rPr>
    </w:lvl>
    <w:lvl w:ilvl="4" w:tplc="4BF8C822">
      <w:start w:val="1"/>
      <w:numFmt w:val="bullet"/>
      <w:lvlText w:val="o"/>
      <w:lvlJc w:val="left"/>
      <w:pPr>
        <w:ind w:left="3600" w:hanging="360"/>
      </w:pPr>
      <w:rPr>
        <w:rFonts w:ascii="Courier New" w:hAnsi="Courier New" w:hint="default"/>
      </w:rPr>
    </w:lvl>
    <w:lvl w:ilvl="5" w:tplc="3FB8F898">
      <w:start w:val="1"/>
      <w:numFmt w:val="bullet"/>
      <w:lvlText w:val=""/>
      <w:lvlJc w:val="left"/>
      <w:pPr>
        <w:ind w:left="4320" w:hanging="360"/>
      </w:pPr>
      <w:rPr>
        <w:rFonts w:ascii="Wingdings" w:hAnsi="Wingdings" w:hint="default"/>
      </w:rPr>
    </w:lvl>
    <w:lvl w:ilvl="6" w:tplc="7F2430A8">
      <w:start w:val="1"/>
      <w:numFmt w:val="bullet"/>
      <w:lvlText w:val=""/>
      <w:lvlJc w:val="left"/>
      <w:pPr>
        <w:ind w:left="5040" w:hanging="360"/>
      </w:pPr>
      <w:rPr>
        <w:rFonts w:ascii="Symbol" w:hAnsi="Symbol" w:hint="default"/>
      </w:rPr>
    </w:lvl>
    <w:lvl w:ilvl="7" w:tplc="2432DDBC">
      <w:start w:val="1"/>
      <w:numFmt w:val="bullet"/>
      <w:lvlText w:val="o"/>
      <w:lvlJc w:val="left"/>
      <w:pPr>
        <w:ind w:left="5760" w:hanging="360"/>
      </w:pPr>
      <w:rPr>
        <w:rFonts w:ascii="Courier New" w:hAnsi="Courier New" w:hint="default"/>
      </w:rPr>
    </w:lvl>
    <w:lvl w:ilvl="8" w:tplc="113C8A14">
      <w:start w:val="1"/>
      <w:numFmt w:val="bullet"/>
      <w:lvlText w:val=""/>
      <w:lvlJc w:val="left"/>
      <w:pPr>
        <w:ind w:left="6480" w:hanging="360"/>
      </w:pPr>
      <w:rPr>
        <w:rFonts w:ascii="Wingdings" w:hAnsi="Wingdings" w:hint="default"/>
      </w:rPr>
    </w:lvl>
  </w:abstractNum>
  <w:num w:numId="1" w16cid:durableId="1622686973">
    <w:abstractNumId w:val="4"/>
  </w:num>
  <w:num w:numId="2" w16cid:durableId="2093354637">
    <w:abstractNumId w:val="3"/>
  </w:num>
  <w:num w:numId="3" w16cid:durableId="283733707">
    <w:abstractNumId w:val="0"/>
  </w:num>
  <w:num w:numId="4" w16cid:durableId="1176463708">
    <w:abstractNumId w:val="7"/>
  </w:num>
  <w:num w:numId="5" w16cid:durableId="1836994144">
    <w:abstractNumId w:val="9"/>
  </w:num>
  <w:num w:numId="6" w16cid:durableId="811218122">
    <w:abstractNumId w:val="6"/>
  </w:num>
  <w:num w:numId="7" w16cid:durableId="902911293">
    <w:abstractNumId w:val="5"/>
  </w:num>
  <w:num w:numId="8" w16cid:durableId="41830711">
    <w:abstractNumId w:val="1"/>
  </w:num>
  <w:num w:numId="9" w16cid:durableId="595865631">
    <w:abstractNumId w:val="8"/>
  </w:num>
  <w:num w:numId="10" w16cid:durableId="218984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AF7"/>
    <w:rsid w:val="0000514D"/>
    <w:rsid w:val="00014047"/>
    <w:rsid w:val="00014632"/>
    <w:rsid w:val="000203E7"/>
    <w:rsid w:val="000272F1"/>
    <w:rsid w:val="00040359"/>
    <w:rsid w:val="00042575"/>
    <w:rsid w:val="000522FF"/>
    <w:rsid w:val="00075CC0"/>
    <w:rsid w:val="0007646E"/>
    <w:rsid w:val="000954E2"/>
    <w:rsid w:val="000A024E"/>
    <w:rsid w:val="000A3143"/>
    <w:rsid w:val="000B029A"/>
    <w:rsid w:val="000B462A"/>
    <w:rsid w:val="000C202B"/>
    <w:rsid w:val="000C28FF"/>
    <w:rsid w:val="000D6675"/>
    <w:rsid w:val="0010464F"/>
    <w:rsid w:val="00122399"/>
    <w:rsid w:val="00125899"/>
    <w:rsid w:val="00131BE5"/>
    <w:rsid w:val="001533CC"/>
    <w:rsid w:val="00153C47"/>
    <w:rsid w:val="0016320C"/>
    <w:rsid w:val="0016435A"/>
    <w:rsid w:val="001870E8"/>
    <w:rsid w:val="00195A84"/>
    <w:rsid w:val="001A1FE4"/>
    <w:rsid w:val="001B4AB6"/>
    <w:rsid w:val="001B655F"/>
    <w:rsid w:val="001B6A6F"/>
    <w:rsid w:val="001C2F33"/>
    <w:rsid w:val="001C6C31"/>
    <w:rsid w:val="001D4C4C"/>
    <w:rsid w:val="001E0000"/>
    <w:rsid w:val="001E2700"/>
    <w:rsid w:val="001E33FD"/>
    <w:rsid w:val="001E4621"/>
    <w:rsid w:val="001F05DB"/>
    <w:rsid w:val="001F0767"/>
    <w:rsid w:val="001F2F43"/>
    <w:rsid w:val="00205DCD"/>
    <w:rsid w:val="00206D95"/>
    <w:rsid w:val="00207562"/>
    <w:rsid w:val="00210A4B"/>
    <w:rsid w:val="00214F8B"/>
    <w:rsid w:val="002339CF"/>
    <w:rsid w:val="00234765"/>
    <w:rsid w:val="002355AF"/>
    <w:rsid w:val="00244446"/>
    <w:rsid w:val="00257DD8"/>
    <w:rsid w:val="00276894"/>
    <w:rsid w:val="00281E5C"/>
    <w:rsid w:val="00290A88"/>
    <w:rsid w:val="002911E2"/>
    <w:rsid w:val="002A2A36"/>
    <w:rsid w:val="002B4DCF"/>
    <w:rsid w:val="002B6EB7"/>
    <w:rsid w:val="002B7F8B"/>
    <w:rsid w:val="002E4391"/>
    <w:rsid w:val="003127BF"/>
    <w:rsid w:val="00313CCE"/>
    <w:rsid w:val="003169C7"/>
    <w:rsid w:val="00337D32"/>
    <w:rsid w:val="003409A6"/>
    <w:rsid w:val="00341DAB"/>
    <w:rsid w:val="003424D6"/>
    <w:rsid w:val="0036248A"/>
    <w:rsid w:val="00362D41"/>
    <w:rsid w:val="0037334A"/>
    <w:rsid w:val="003B27F5"/>
    <w:rsid w:val="003B6E24"/>
    <w:rsid w:val="003C1783"/>
    <w:rsid w:val="003C567E"/>
    <w:rsid w:val="003D04C5"/>
    <w:rsid w:val="003E287D"/>
    <w:rsid w:val="003E4369"/>
    <w:rsid w:val="003E5E3C"/>
    <w:rsid w:val="003F1F73"/>
    <w:rsid w:val="003F54D0"/>
    <w:rsid w:val="003F6118"/>
    <w:rsid w:val="003F6DB0"/>
    <w:rsid w:val="00423424"/>
    <w:rsid w:val="00425D33"/>
    <w:rsid w:val="00427147"/>
    <w:rsid w:val="0043505A"/>
    <w:rsid w:val="00440CF5"/>
    <w:rsid w:val="00446AE4"/>
    <w:rsid w:val="00457E06"/>
    <w:rsid w:val="00460BBA"/>
    <w:rsid w:val="00476684"/>
    <w:rsid w:val="00483C16"/>
    <w:rsid w:val="00484D71"/>
    <w:rsid w:val="00485EE5"/>
    <w:rsid w:val="00491D23"/>
    <w:rsid w:val="0049590A"/>
    <w:rsid w:val="004A08B8"/>
    <w:rsid w:val="004B69B3"/>
    <w:rsid w:val="004D03C2"/>
    <w:rsid w:val="004E3DDB"/>
    <w:rsid w:val="004E73B5"/>
    <w:rsid w:val="00545FC7"/>
    <w:rsid w:val="00560025"/>
    <w:rsid w:val="0056098B"/>
    <w:rsid w:val="005609E8"/>
    <w:rsid w:val="0056677F"/>
    <w:rsid w:val="00570241"/>
    <w:rsid w:val="00585001"/>
    <w:rsid w:val="005912B3"/>
    <w:rsid w:val="005A1094"/>
    <w:rsid w:val="005A53E2"/>
    <w:rsid w:val="005A76C4"/>
    <w:rsid w:val="005B1CE3"/>
    <w:rsid w:val="005C2A00"/>
    <w:rsid w:val="005D1010"/>
    <w:rsid w:val="005D6A2A"/>
    <w:rsid w:val="005E1118"/>
    <w:rsid w:val="005E1E92"/>
    <w:rsid w:val="00610C81"/>
    <w:rsid w:val="00612E97"/>
    <w:rsid w:val="00625163"/>
    <w:rsid w:val="006259A0"/>
    <w:rsid w:val="00630279"/>
    <w:rsid w:val="00634107"/>
    <w:rsid w:val="00640231"/>
    <w:rsid w:val="0064035B"/>
    <w:rsid w:val="00643DB9"/>
    <w:rsid w:val="00647486"/>
    <w:rsid w:val="00671D68"/>
    <w:rsid w:val="0067409B"/>
    <w:rsid w:val="006774EB"/>
    <w:rsid w:val="00682575"/>
    <w:rsid w:val="006931F7"/>
    <w:rsid w:val="0069483A"/>
    <w:rsid w:val="006A0DD8"/>
    <w:rsid w:val="006A5D36"/>
    <w:rsid w:val="006D3C17"/>
    <w:rsid w:val="006F105C"/>
    <w:rsid w:val="006F12D3"/>
    <w:rsid w:val="006F6DBE"/>
    <w:rsid w:val="00701C1F"/>
    <w:rsid w:val="00702975"/>
    <w:rsid w:val="0071178D"/>
    <w:rsid w:val="007121AD"/>
    <w:rsid w:val="007174E8"/>
    <w:rsid w:val="00723CF9"/>
    <w:rsid w:val="00731BC8"/>
    <w:rsid w:val="00740364"/>
    <w:rsid w:val="00743F18"/>
    <w:rsid w:val="007458AF"/>
    <w:rsid w:val="0075175A"/>
    <w:rsid w:val="00755760"/>
    <w:rsid w:val="007622AB"/>
    <w:rsid w:val="0076701D"/>
    <w:rsid w:val="0078238F"/>
    <w:rsid w:val="007824F4"/>
    <w:rsid w:val="007967C8"/>
    <w:rsid w:val="007A4AF7"/>
    <w:rsid w:val="007A5D96"/>
    <w:rsid w:val="007B26BA"/>
    <w:rsid w:val="007C34AC"/>
    <w:rsid w:val="0080303F"/>
    <w:rsid w:val="00811362"/>
    <w:rsid w:val="00815F06"/>
    <w:rsid w:val="00831326"/>
    <w:rsid w:val="008318C4"/>
    <w:rsid w:val="00842E52"/>
    <w:rsid w:val="0084345B"/>
    <w:rsid w:val="008442DA"/>
    <w:rsid w:val="00847674"/>
    <w:rsid w:val="00873843"/>
    <w:rsid w:val="0088448F"/>
    <w:rsid w:val="008A219D"/>
    <w:rsid w:val="008A41AA"/>
    <w:rsid w:val="008B0032"/>
    <w:rsid w:val="008B2590"/>
    <w:rsid w:val="008B4557"/>
    <w:rsid w:val="008D2C48"/>
    <w:rsid w:val="008D544E"/>
    <w:rsid w:val="008D64FD"/>
    <w:rsid w:val="008E6704"/>
    <w:rsid w:val="008E7E9F"/>
    <w:rsid w:val="008F684B"/>
    <w:rsid w:val="00900442"/>
    <w:rsid w:val="00907626"/>
    <w:rsid w:val="00922E60"/>
    <w:rsid w:val="009240BD"/>
    <w:rsid w:val="00927E31"/>
    <w:rsid w:val="0093062D"/>
    <w:rsid w:val="00930E7D"/>
    <w:rsid w:val="00932030"/>
    <w:rsid w:val="0094756E"/>
    <w:rsid w:val="0095326F"/>
    <w:rsid w:val="00970B35"/>
    <w:rsid w:val="00976747"/>
    <w:rsid w:val="00980142"/>
    <w:rsid w:val="0098182E"/>
    <w:rsid w:val="0098644B"/>
    <w:rsid w:val="0099585C"/>
    <w:rsid w:val="009B01A6"/>
    <w:rsid w:val="009B43D3"/>
    <w:rsid w:val="009D65C6"/>
    <w:rsid w:val="009E1E35"/>
    <w:rsid w:val="009E5452"/>
    <w:rsid w:val="00A04717"/>
    <w:rsid w:val="00A04F87"/>
    <w:rsid w:val="00A07C81"/>
    <w:rsid w:val="00A10181"/>
    <w:rsid w:val="00A21ED7"/>
    <w:rsid w:val="00A24E86"/>
    <w:rsid w:val="00A3502B"/>
    <w:rsid w:val="00A45264"/>
    <w:rsid w:val="00A62AFE"/>
    <w:rsid w:val="00A63E13"/>
    <w:rsid w:val="00A8582C"/>
    <w:rsid w:val="00A94CED"/>
    <w:rsid w:val="00AA04A4"/>
    <w:rsid w:val="00AB204B"/>
    <w:rsid w:val="00AC6DEF"/>
    <w:rsid w:val="00AD3595"/>
    <w:rsid w:val="00AE232B"/>
    <w:rsid w:val="00AF17C4"/>
    <w:rsid w:val="00B04E27"/>
    <w:rsid w:val="00B0714B"/>
    <w:rsid w:val="00B1077D"/>
    <w:rsid w:val="00B13D01"/>
    <w:rsid w:val="00B146F5"/>
    <w:rsid w:val="00B20D49"/>
    <w:rsid w:val="00B23068"/>
    <w:rsid w:val="00B3234F"/>
    <w:rsid w:val="00B33503"/>
    <w:rsid w:val="00B42EFD"/>
    <w:rsid w:val="00B56D9B"/>
    <w:rsid w:val="00B77499"/>
    <w:rsid w:val="00BA416F"/>
    <w:rsid w:val="00BB6DCE"/>
    <w:rsid w:val="00BB76D7"/>
    <w:rsid w:val="00BC21AF"/>
    <w:rsid w:val="00BD2413"/>
    <w:rsid w:val="00BE471D"/>
    <w:rsid w:val="00BE7F2E"/>
    <w:rsid w:val="00C07A9C"/>
    <w:rsid w:val="00C10E69"/>
    <w:rsid w:val="00C1393B"/>
    <w:rsid w:val="00C217C5"/>
    <w:rsid w:val="00C26E17"/>
    <w:rsid w:val="00C45327"/>
    <w:rsid w:val="00C53ED8"/>
    <w:rsid w:val="00C56219"/>
    <w:rsid w:val="00C61794"/>
    <w:rsid w:val="00C70445"/>
    <w:rsid w:val="00C70737"/>
    <w:rsid w:val="00C73C59"/>
    <w:rsid w:val="00C83484"/>
    <w:rsid w:val="00C83B88"/>
    <w:rsid w:val="00C86C90"/>
    <w:rsid w:val="00C86E62"/>
    <w:rsid w:val="00CA32E4"/>
    <w:rsid w:val="00CB020C"/>
    <w:rsid w:val="00CC469D"/>
    <w:rsid w:val="00CD1DCF"/>
    <w:rsid w:val="00CE1782"/>
    <w:rsid w:val="00CE26D6"/>
    <w:rsid w:val="00CF1384"/>
    <w:rsid w:val="00CF2643"/>
    <w:rsid w:val="00CF6E93"/>
    <w:rsid w:val="00D13930"/>
    <w:rsid w:val="00D24826"/>
    <w:rsid w:val="00D2513F"/>
    <w:rsid w:val="00D27A9B"/>
    <w:rsid w:val="00D3536A"/>
    <w:rsid w:val="00D41FBC"/>
    <w:rsid w:val="00D4360C"/>
    <w:rsid w:val="00D440F0"/>
    <w:rsid w:val="00D74C23"/>
    <w:rsid w:val="00D754CB"/>
    <w:rsid w:val="00D76055"/>
    <w:rsid w:val="00D8235B"/>
    <w:rsid w:val="00D91B4E"/>
    <w:rsid w:val="00D921B9"/>
    <w:rsid w:val="00D92FC2"/>
    <w:rsid w:val="00DA2DAA"/>
    <w:rsid w:val="00DA41CC"/>
    <w:rsid w:val="00DC63D6"/>
    <w:rsid w:val="00DD03B8"/>
    <w:rsid w:val="00DD41C7"/>
    <w:rsid w:val="00DE34BE"/>
    <w:rsid w:val="00DE4118"/>
    <w:rsid w:val="00DE7538"/>
    <w:rsid w:val="00E25549"/>
    <w:rsid w:val="00E3057E"/>
    <w:rsid w:val="00E32AFB"/>
    <w:rsid w:val="00E4772E"/>
    <w:rsid w:val="00E723EA"/>
    <w:rsid w:val="00E76BAE"/>
    <w:rsid w:val="00E811CD"/>
    <w:rsid w:val="00EA094F"/>
    <w:rsid w:val="00EA62E6"/>
    <w:rsid w:val="00EB0514"/>
    <w:rsid w:val="00EB14A9"/>
    <w:rsid w:val="00EB5F63"/>
    <w:rsid w:val="00EC2586"/>
    <w:rsid w:val="00EC6317"/>
    <w:rsid w:val="00EE0115"/>
    <w:rsid w:val="00EE4380"/>
    <w:rsid w:val="00F00ACA"/>
    <w:rsid w:val="00F046DE"/>
    <w:rsid w:val="00F05404"/>
    <w:rsid w:val="00F06123"/>
    <w:rsid w:val="00F135C2"/>
    <w:rsid w:val="00F20559"/>
    <w:rsid w:val="00F30955"/>
    <w:rsid w:val="00F31AF7"/>
    <w:rsid w:val="00F33AF4"/>
    <w:rsid w:val="00F35EA9"/>
    <w:rsid w:val="00F54500"/>
    <w:rsid w:val="00F660D1"/>
    <w:rsid w:val="00F938B8"/>
    <w:rsid w:val="00F94137"/>
    <w:rsid w:val="00F97B79"/>
    <w:rsid w:val="00FA2396"/>
    <w:rsid w:val="00FA5A83"/>
    <w:rsid w:val="00FA7ABE"/>
    <w:rsid w:val="00FB6713"/>
    <w:rsid w:val="00FB679F"/>
    <w:rsid w:val="00FC4909"/>
    <w:rsid w:val="00FC4CFB"/>
    <w:rsid w:val="00FC59C4"/>
    <w:rsid w:val="00FD2A4A"/>
    <w:rsid w:val="00FF6501"/>
    <w:rsid w:val="018C0238"/>
    <w:rsid w:val="01EA5DDC"/>
    <w:rsid w:val="02A5FFF1"/>
    <w:rsid w:val="03F9038C"/>
    <w:rsid w:val="040C2EB9"/>
    <w:rsid w:val="04CFE48F"/>
    <w:rsid w:val="04E02551"/>
    <w:rsid w:val="05FCF3DA"/>
    <w:rsid w:val="060E7A99"/>
    <w:rsid w:val="0698D95D"/>
    <w:rsid w:val="0759D97F"/>
    <w:rsid w:val="075B276C"/>
    <w:rsid w:val="0774E39A"/>
    <w:rsid w:val="0846A995"/>
    <w:rsid w:val="098D1A0E"/>
    <w:rsid w:val="09B5A121"/>
    <w:rsid w:val="0A029B80"/>
    <w:rsid w:val="0A80814D"/>
    <w:rsid w:val="0B09C222"/>
    <w:rsid w:val="0B7C1D81"/>
    <w:rsid w:val="0C3B1574"/>
    <w:rsid w:val="0CA129D7"/>
    <w:rsid w:val="0D59B206"/>
    <w:rsid w:val="0D73A2B1"/>
    <w:rsid w:val="0DB11D63"/>
    <w:rsid w:val="0F158A32"/>
    <w:rsid w:val="0F3D7A63"/>
    <w:rsid w:val="0F68AB77"/>
    <w:rsid w:val="11B6EE65"/>
    <w:rsid w:val="11F1C50F"/>
    <w:rsid w:val="13710A79"/>
    <w:rsid w:val="1390BE05"/>
    <w:rsid w:val="13A79F6D"/>
    <w:rsid w:val="1501562E"/>
    <w:rsid w:val="151351F7"/>
    <w:rsid w:val="1537E1C5"/>
    <w:rsid w:val="15CBC55F"/>
    <w:rsid w:val="179593DC"/>
    <w:rsid w:val="1828EADF"/>
    <w:rsid w:val="18A3F9E6"/>
    <w:rsid w:val="197FF547"/>
    <w:rsid w:val="1A4E133B"/>
    <w:rsid w:val="1AFAC917"/>
    <w:rsid w:val="1BBAC3CA"/>
    <w:rsid w:val="1BC3CB24"/>
    <w:rsid w:val="1C07029F"/>
    <w:rsid w:val="1C2719A4"/>
    <w:rsid w:val="1C5361A3"/>
    <w:rsid w:val="1C826692"/>
    <w:rsid w:val="1D10FAB9"/>
    <w:rsid w:val="1D61C91E"/>
    <w:rsid w:val="1F44B9C4"/>
    <w:rsid w:val="1F7B4D71"/>
    <w:rsid w:val="20BB498E"/>
    <w:rsid w:val="20E687BC"/>
    <w:rsid w:val="2419AA3A"/>
    <w:rsid w:val="2445C8BB"/>
    <w:rsid w:val="25773E55"/>
    <w:rsid w:val="26B89189"/>
    <w:rsid w:val="271A5116"/>
    <w:rsid w:val="2766B848"/>
    <w:rsid w:val="2803E6B9"/>
    <w:rsid w:val="2871D1FA"/>
    <w:rsid w:val="29E9C30E"/>
    <w:rsid w:val="2AB85622"/>
    <w:rsid w:val="2AD4BD70"/>
    <w:rsid w:val="2AD9D9F3"/>
    <w:rsid w:val="2B9B2717"/>
    <w:rsid w:val="2BCB9987"/>
    <w:rsid w:val="2D3D4D59"/>
    <w:rsid w:val="2DE6796B"/>
    <w:rsid w:val="2E7D1382"/>
    <w:rsid w:val="2EA0EED1"/>
    <w:rsid w:val="2FC88F29"/>
    <w:rsid w:val="2FCDE1F8"/>
    <w:rsid w:val="305133CF"/>
    <w:rsid w:val="307FAE3B"/>
    <w:rsid w:val="309A6794"/>
    <w:rsid w:val="312217CA"/>
    <w:rsid w:val="3157B2B2"/>
    <w:rsid w:val="3171EF7B"/>
    <w:rsid w:val="330A62AF"/>
    <w:rsid w:val="331381B9"/>
    <w:rsid w:val="335FD7C3"/>
    <w:rsid w:val="34F635D9"/>
    <w:rsid w:val="350DAB24"/>
    <w:rsid w:val="35C9EFC9"/>
    <w:rsid w:val="36972401"/>
    <w:rsid w:val="384BFCF0"/>
    <w:rsid w:val="3888635E"/>
    <w:rsid w:val="389445CC"/>
    <w:rsid w:val="39FD186F"/>
    <w:rsid w:val="3A02203F"/>
    <w:rsid w:val="3A36FF69"/>
    <w:rsid w:val="3A3D3AA8"/>
    <w:rsid w:val="3B2763DE"/>
    <w:rsid w:val="3B8CC1D9"/>
    <w:rsid w:val="3C4B2E4C"/>
    <w:rsid w:val="3CCCD8B6"/>
    <w:rsid w:val="3F75E2DA"/>
    <w:rsid w:val="40125BD7"/>
    <w:rsid w:val="4021D769"/>
    <w:rsid w:val="4128CB90"/>
    <w:rsid w:val="41326296"/>
    <w:rsid w:val="4138C01D"/>
    <w:rsid w:val="41562C0D"/>
    <w:rsid w:val="424BDC43"/>
    <w:rsid w:val="42EBAF36"/>
    <w:rsid w:val="434A49FA"/>
    <w:rsid w:val="43712914"/>
    <w:rsid w:val="442B259B"/>
    <w:rsid w:val="455548BD"/>
    <w:rsid w:val="458C9521"/>
    <w:rsid w:val="4590D869"/>
    <w:rsid w:val="45D5F417"/>
    <w:rsid w:val="466B3C53"/>
    <w:rsid w:val="46A61CBF"/>
    <w:rsid w:val="46CF9061"/>
    <w:rsid w:val="47834476"/>
    <w:rsid w:val="479FEBCD"/>
    <w:rsid w:val="47FE8004"/>
    <w:rsid w:val="481263A6"/>
    <w:rsid w:val="4836E426"/>
    <w:rsid w:val="483B01C0"/>
    <w:rsid w:val="4B984EA4"/>
    <w:rsid w:val="4BCE4A83"/>
    <w:rsid w:val="4BF9FD83"/>
    <w:rsid w:val="4CC7B210"/>
    <w:rsid w:val="4D4BEDAA"/>
    <w:rsid w:val="4F33E96F"/>
    <w:rsid w:val="4F51324A"/>
    <w:rsid w:val="4FA7E3BA"/>
    <w:rsid w:val="5076AC96"/>
    <w:rsid w:val="507CB433"/>
    <w:rsid w:val="51B973F4"/>
    <w:rsid w:val="52FCAFA0"/>
    <w:rsid w:val="539D5F54"/>
    <w:rsid w:val="542DE7DA"/>
    <w:rsid w:val="54A13AB1"/>
    <w:rsid w:val="55C1401E"/>
    <w:rsid w:val="563B5C4F"/>
    <w:rsid w:val="569F183C"/>
    <w:rsid w:val="56A22ACF"/>
    <w:rsid w:val="5812B241"/>
    <w:rsid w:val="5A31F10A"/>
    <w:rsid w:val="5AB6529D"/>
    <w:rsid w:val="5AD8C324"/>
    <w:rsid w:val="5B11735E"/>
    <w:rsid w:val="5BA1C05A"/>
    <w:rsid w:val="5C1D1F92"/>
    <w:rsid w:val="5CA87C93"/>
    <w:rsid w:val="5DFA6FD5"/>
    <w:rsid w:val="5E5534FF"/>
    <w:rsid w:val="5EA9D3C9"/>
    <w:rsid w:val="5EB290F9"/>
    <w:rsid w:val="5F0745AF"/>
    <w:rsid w:val="602D80A1"/>
    <w:rsid w:val="60E60673"/>
    <w:rsid w:val="61063BEB"/>
    <w:rsid w:val="616710B1"/>
    <w:rsid w:val="64030073"/>
    <w:rsid w:val="640B9B8E"/>
    <w:rsid w:val="64710439"/>
    <w:rsid w:val="64BCF80C"/>
    <w:rsid w:val="666DB433"/>
    <w:rsid w:val="66DBBBFC"/>
    <w:rsid w:val="66E441F6"/>
    <w:rsid w:val="6766ACF5"/>
    <w:rsid w:val="67CAF6EA"/>
    <w:rsid w:val="67E03D0D"/>
    <w:rsid w:val="69889C7C"/>
    <w:rsid w:val="6B35EC20"/>
    <w:rsid w:val="6BDBE3E3"/>
    <w:rsid w:val="6D041225"/>
    <w:rsid w:val="6D621B9B"/>
    <w:rsid w:val="6DCDC5C8"/>
    <w:rsid w:val="6E24EA29"/>
    <w:rsid w:val="6E6D7683"/>
    <w:rsid w:val="6E7433C8"/>
    <w:rsid w:val="6EAF370E"/>
    <w:rsid w:val="6EEF9F36"/>
    <w:rsid w:val="6F18D777"/>
    <w:rsid w:val="6F7C9F35"/>
    <w:rsid w:val="6F7F3263"/>
    <w:rsid w:val="7025AE6E"/>
    <w:rsid w:val="702BFF81"/>
    <w:rsid w:val="7072DDB2"/>
    <w:rsid w:val="70D10206"/>
    <w:rsid w:val="730961B9"/>
    <w:rsid w:val="73D05707"/>
    <w:rsid w:val="7410F0CD"/>
    <w:rsid w:val="742A051E"/>
    <w:rsid w:val="74F77F71"/>
    <w:rsid w:val="7568EF5B"/>
    <w:rsid w:val="771D6221"/>
    <w:rsid w:val="779A8D4F"/>
    <w:rsid w:val="77E88C76"/>
    <w:rsid w:val="79B5B2C0"/>
    <w:rsid w:val="79FAD90B"/>
    <w:rsid w:val="7B5F601B"/>
    <w:rsid w:val="7C3EB7E3"/>
    <w:rsid w:val="7C943B7A"/>
    <w:rsid w:val="7DE72EF3"/>
    <w:rsid w:val="7E1E63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6AD77"/>
  <w15:chartTrackingRefBased/>
  <w15:docId w15:val="{C5AA2E86-4149-415E-A2C3-BB2975D80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AF7"/>
  </w:style>
  <w:style w:type="paragraph" w:styleId="Heading1">
    <w:name w:val="heading 1"/>
    <w:basedOn w:val="Normal"/>
    <w:next w:val="Normal"/>
    <w:link w:val="Heading1Char"/>
    <w:uiPriority w:val="9"/>
    <w:qFormat/>
    <w:rsid w:val="007A4A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A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A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A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A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A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A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A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AF7"/>
    <w:rPr>
      <w:rFonts w:eastAsiaTheme="majorEastAsia" w:cstheme="majorBidi"/>
      <w:color w:val="272727" w:themeColor="text1" w:themeTint="D8"/>
    </w:rPr>
  </w:style>
  <w:style w:type="paragraph" w:styleId="Title">
    <w:name w:val="Title"/>
    <w:basedOn w:val="Normal"/>
    <w:next w:val="Normal"/>
    <w:link w:val="TitleChar"/>
    <w:uiPriority w:val="10"/>
    <w:qFormat/>
    <w:rsid w:val="007A4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AF7"/>
    <w:pPr>
      <w:spacing w:before="160"/>
      <w:jc w:val="center"/>
    </w:pPr>
    <w:rPr>
      <w:i/>
      <w:iCs/>
      <w:color w:val="404040" w:themeColor="text1" w:themeTint="BF"/>
    </w:rPr>
  </w:style>
  <w:style w:type="character" w:customStyle="1" w:styleId="QuoteChar">
    <w:name w:val="Quote Char"/>
    <w:basedOn w:val="DefaultParagraphFont"/>
    <w:link w:val="Quote"/>
    <w:uiPriority w:val="29"/>
    <w:rsid w:val="007A4AF7"/>
    <w:rPr>
      <w:i/>
      <w:iCs/>
      <w:color w:val="404040" w:themeColor="text1" w:themeTint="BF"/>
    </w:rPr>
  </w:style>
  <w:style w:type="paragraph" w:styleId="ListParagraph">
    <w:name w:val="List Paragraph"/>
    <w:basedOn w:val="Normal"/>
    <w:qFormat/>
    <w:rsid w:val="007A4AF7"/>
    <w:pPr>
      <w:ind w:left="720"/>
      <w:contextualSpacing/>
    </w:pPr>
  </w:style>
  <w:style w:type="character" w:styleId="IntenseEmphasis">
    <w:name w:val="Intense Emphasis"/>
    <w:basedOn w:val="DefaultParagraphFont"/>
    <w:uiPriority w:val="21"/>
    <w:qFormat/>
    <w:rsid w:val="007A4AF7"/>
    <w:rPr>
      <w:i/>
      <w:iCs/>
      <w:color w:val="0F4761" w:themeColor="accent1" w:themeShade="BF"/>
    </w:rPr>
  </w:style>
  <w:style w:type="paragraph" w:styleId="IntenseQuote">
    <w:name w:val="Intense Quote"/>
    <w:basedOn w:val="Normal"/>
    <w:next w:val="Normal"/>
    <w:link w:val="IntenseQuoteChar"/>
    <w:uiPriority w:val="30"/>
    <w:qFormat/>
    <w:rsid w:val="007A4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AF7"/>
    <w:rPr>
      <w:i/>
      <w:iCs/>
      <w:color w:val="0F4761" w:themeColor="accent1" w:themeShade="BF"/>
    </w:rPr>
  </w:style>
  <w:style w:type="character" w:styleId="IntenseReference">
    <w:name w:val="Intense Reference"/>
    <w:basedOn w:val="DefaultParagraphFont"/>
    <w:uiPriority w:val="32"/>
    <w:qFormat/>
    <w:rsid w:val="007A4AF7"/>
    <w:rPr>
      <w:b/>
      <w:bCs/>
      <w:smallCaps/>
      <w:color w:val="0F4761" w:themeColor="accent1" w:themeShade="BF"/>
      <w:spacing w:val="5"/>
    </w:rPr>
  </w:style>
  <w:style w:type="table" w:styleId="TableGrid">
    <w:name w:val="Table Grid"/>
    <w:basedOn w:val="TableNormal"/>
    <w:uiPriority w:val="39"/>
    <w:rsid w:val="007A4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4A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AF7"/>
  </w:style>
  <w:style w:type="paragraph" w:styleId="Footer">
    <w:name w:val="footer"/>
    <w:basedOn w:val="Normal"/>
    <w:link w:val="FooterChar"/>
    <w:uiPriority w:val="99"/>
    <w:unhideWhenUsed/>
    <w:rsid w:val="007A4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AF7"/>
  </w:style>
  <w:style w:type="character" w:styleId="CommentReference">
    <w:name w:val="annotation reference"/>
    <w:basedOn w:val="DefaultParagraphFont"/>
    <w:uiPriority w:val="99"/>
    <w:semiHidden/>
    <w:unhideWhenUsed/>
    <w:rsid w:val="00D76055"/>
    <w:rPr>
      <w:sz w:val="16"/>
      <w:szCs w:val="16"/>
    </w:rPr>
  </w:style>
  <w:style w:type="paragraph" w:styleId="CommentText">
    <w:name w:val="annotation text"/>
    <w:basedOn w:val="Normal"/>
    <w:link w:val="CommentTextChar"/>
    <w:uiPriority w:val="99"/>
    <w:unhideWhenUsed/>
    <w:rsid w:val="00D76055"/>
    <w:pPr>
      <w:spacing w:line="240" w:lineRule="auto"/>
    </w:pPr>
    <w:rPr>
      <w:sz w:val="20"/>
      <w:szCs w:val="20"/>
    </w:rPr>
  </w:style>
  <w:style w:type="character" w:customStyle="1" w:styleId="CommentTextChar">
    <w:name w:val="Comment Text Char"/>
    <w:basedOn w:val="DefaultParagraphFont"/>
    <w:link w:val="CommentText"/>
    <w:uiPriority w:val="99"/>
    <w:rsid w:val="00D76055"/>
    <w:rPr>
      <w:sz w:val="20"/>
      <w:szCs w:val="20"/>
    </w:rPr>
  </w:style>
  <w:style w:type="paragraph" w:styleId="CommentSubject">
    <w:name w:val="annotation subject"/>
    <w:basedOn w:val="CommentText"/>
    <w:next w:val="CommentText"/>
    <w:link w:val="CommentSubjectChar"/>
    <w:uiPriority w:val="99"/>
    <w:semiHidden/>
    <w:unhideWhenUsed/>
    <w:rsid w:val="00D76055"/>
    <w:rPr>
      <w:b/>
      <w:bCs/>
    </w:rPr>
  </w:style>
  <w:style w:type="character" w:customStyle="1" w:styleId="CommentSubjectChar">
    <w:name w:val="Comment Subject Char"/>
    <w:basedOn w:val="CommentTextChar"/>
    <w:link w:val="CommentSubject"/>
    <w:uiPriority w:val="99"/>
    <w:semiHidden/>
    <w:rsid w:val="00D76055"/>
    <w:rPr>
      <w:b/>
      <w:bCs/>
      <w:sz w:val="20"/>
      <w:szCs w:val="20"/>
    </w:rPr>
  </w:style>
  <w:style w:type="character" w:styleId="Mention">
    <w:name w:val="Mention"/>
    <w:basedOn w:val="DefaultParagraphFont"/>
    <w:uiPriority w:val="99"/>
    <w:unhideWhenUsed/>
    <w:rsid w:val="004A08B8"/>
    <w:rPr>
      <w:color w:val="2B579A"/>
      <w:shd w:val="clear" w:color="auto" w:fill="E1DFDD"/>
    </w:rPr>
  </w:style>
  <w:style w:type="character" w:styleId="Hyperlink">
    <w:name w:val="Hyperlink"/>
    <w:uiPriority w:val="99"/>
    <w:unhideWhenUsed/>
    <w:rsid w:val="006F105C"/>
    <w:rPr>
      <w:color w:val="0563C1"/>
      <w:u w:val="single"/>
    </w:rPr>
  </w:style>
  <w:style w:type="character" w:styleId="UnresolvedMention">
    <w:name w:val="Unresolved Mention"/>
    <w:basedOn w:val="DefaultParagraphFont"/>
    <w:uiPriority w:val="99"/>
    <w:semiHidden/>
    <w:unhideWhenUsed/>
    <w:rsid w:val="008A41AA"/>
    <w:rPr>
      <w:color w:val="605E5C"/>
      <w:shd w:val="clear" w:color="auto" w:fill="E1DFDD"/>
    </w:rPr>
  </w:style>
  <w:style w:type="paragraph" w:styleId="Revision">
    <w:name w:val="Revision"/>
    <w:hidden/>
    <w:uiPriority w:val="99"/>
    <w:semiHidden/>
    <w:rsid w:val="002347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documenttasks/documenttasks1.xml><?xml version="1.0" encoding="utf-8"?>
<t:Tasks xmlns:t="http://schemas.microsoft.com/office/tasks/2019/documenttasks" xmlns:oel="http://schemas.microsoft.com/office/2019/extlst">
  <t:Task id="{3886F0A2-64CF-4D6D-983A-5E7B5D3BF78A}">
    <t:Anchor>
      <t:Comment id="1864553412"/>
    </t:Anchor>
    <t:History>
      <t:Event id="{1CD63314-57EF-4282-8BC4-1124252E8D51}" time="2026-07-22T23:15:29.394Z">
        <t:Attribution userId="S::wsoohoo@kingcounty.gov::8ef48232-cd1b-4d89-844a-f196c3f2eb4d" userProvider="AD" userName="Soohoo, Wendy (EXEC)"/>
        <t:Anchor>
          <t:Comment id="29668637"/>
        </t:Anchor>
        <t:Create/>
      </t:Event>
      <t:Event id="{B85DCEF3-2667-4FDB-9227-366BE88698AB}" time="2026-07-22T23:15:29.394Z">
        <t:Attribution userId="S::wsoohoo@kingcounty.gov::8ef48232-cd1b-4d89-844a-f196c3f2eb4d" userProvider="AD" userName="Soohoo, Wendy (EXEC)"/>
        <t:Anchor>
          <t:Comment id="29668637"/>
        </t:Anchor>
        <t:Assign userId="S::Christopher.McGowan@kingcounty.gov::fd24ef22-6cb6-4593-899c-ccc2c751bf30" userProvider="AD" userName="McGowan, Christopher"/>
      </t:Event>
      <t:Event id="{4EF49408-F427-466D-8EB8-E5094E39C12B}" time="2026-07-22T23:15:29.394Z">
        <t:Attribution userId="S::wsoohoo@kingcounty.gov::8ef48232-cd1b-4d89-844a-f196c3f2eb4d" userProvider="AD" userName="Soohoo, Wendy (EXEC)"/>
        <t:Anchor>
          <t:Comment id="29668637"/>
        </t:Anchor>
        <t:SetTitle title="@McGowan, Christopher pls confirm but i don't think so. I think this is a general risk in that the state auditor conducts regular audits and could have a finding on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62210065-AA88-480F-BC52-50E944994D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E0F064-E5D9-47A4-9343-E252CB56533E}"/>
</file>

<file path=customXml/itemProps3.xml><?xml version="1.0" encoding="utf-8"?>
<ds:datastoreItem xmlns:ds="http://schemas.openxmlformats.org/officeDocument/2006/customXml" ds:itemID="{2D629CF3-59E8-494D-A7DA-804A7AD12D71}">
  <ds:schemaRefs>
    <ds:schemaRef ds:uri="http://schemas.microsoft.com/sharepoint/v3/contenttype/forms"/>
  </ds:schemaRefs>
</ds:datastoreItem>
</file>

<file path=customXml/itemProps4.xml><?xml version="1.0" encoding="utf-8"?>
<ds:datastoreItem xmlns:ds="http://schemas.openxmlformats.org/officeDocument/2006/customXml" ds:itemID="{DFE30EB1-A394-4470-B8F0-CCCE72611727}"/>
</file>

<file path=docProps/app.xml><?xml version="1.0" encoding="utf-8"?>
<Properties xmlns="http://schemas.openxmlformats.org/officeDocument/2006/extended-properties" xmlns:vt="http://schemas.openxmlformats.org/officeDocument/2006/docPropsVTypes">
  <Template>Normal.dotm</Template>
  <TotalTime>2</TotalTime>
  <Pages>4</Pages>
  <Words>1188</Words>
  <Characters>6775</Characters>
  <Application>Microsoft Office Word</Application>
  <DocSecurity>0</DocSecurity>
  <Lines>56</Lines>
  <Paragraphs>15</Paragraphs>
  <ScaleCrop>false</ScaleCrop>
  <Company>King County</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Soohoo, Wendy (EXEC)</dc:creator>
  <cp:keywords/>
  <dc:description/>
  <cp:lastModifiedBy>Soohoo, Wendy (EXEC)</cp:lastModifiedBy>
  <cp:revision>5</cp:revision>
  <dcterms:created xsi:type="dcterms:W3CDTF">2026-07-31T00:05:00Z</dcterms:created>
  <dcterms:modified xsi:type="dcterms:W3CDTF">2026-07-31T21:34:00Z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