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322"/>
        <w:gridCol w:w="2700"/>
        <w:gridCol w:w="1800"/>
        <w:gridCol w:w="2250"/>
      </w:tblGrid>
      <w:tr w:rsidR="007A0C3D" w:rsidRPr="004C7887" w:rsidTr="00CB03A0">
        <w:tc>
          <w:tcPr>
            <w:tcW w:w="2322" w:type="dxa"/>
            <w:vAlign w:val="center"/>
          </w:tcPr>
          <w:p w:rsidR="007A0C3D" w:rsidRPr="004C7887" w:rsidRDefault="007A0C3D">
            <w:pPr>
              <w:snapToGrid w:val="0"/>
              <w:spacing w:before="20" w:after="20"/>
              <w:ind w:left="-3"/>
              <w:rPr>
                <w:rFonts w:ascii="Arial" w:hAnsi="Arial" w:cs="Arial"/>
                <w:b/>
              </w:rPr>
            </w:pPr>
            <w:r w:rsidRPr="004C7887">
              <w:rPr>
                <w:rFonts w:ascii="Arial" w:hAnsi="Arial" w:cs="Arial"/>
                <w:b/>
              </w:rPr>
              <w:t>Agenda Item No.:</w:t>
            </w:r>
          </w:p>
        </w:tc>
        <w:tc>
          <w:tcPr>
            <w:tcW w:w="2700" w:type="dxa"/>
            <w:vAlign w:val="center"/>
          </w:tcPr>
          <w:p w:rsidR="007A0C3D" w:rsidRPr="006F74CC" w:rsidRDefault="007A0C3D">
            <w:pPr>
              <w:snapToGrid w:val="0"/>
              <w:spacing w:before="20" w:after="20"/>
              <w:ind w:left="-3"/>
              <w:rPr>
                <w:rFonts w:ascii="Arial" w:hAnsi="Arial" w:cs="Arial"/>
              </w:rPr>
            </w:pPr>
          </w:p>
        </w:tc>
        <w:tc>
          <w:tcPr>
            <w:tcW w:w="1800" w:type="dxa"/>
            <w:vAlign w:val="center"/>
          </w:tcPr>
          <w:p w:rsidR="007A0C3D" w:rsidRPr="004C7887" w:rsidRDefault="007A0C3D">
            <w:pPr>
              <w:snapToGrid w:val="0"/>
              <w:spacing w:before="20" w:after="20"/>
              <w:ind w:left="-3"/>
              <w:rPr>
                <w:rFonts w:ascii="Arial" w:hAnsi="Arial" w:cs="Arial"/>
                <w:b/>
              </w:rPr>
            </w:pPr>
            <w:r w:rsidRPr="004C7887">
              <w:rPr>
                <w:rFonts w:ascii="Arial" w:hAnsi="Arial" w:cs="Arial"/>
                <w:b/>
              </w:rPr>
              <w:t>Date:</w:t>
            </w:r>
          </w:p>
        </w:tc>
        <w:tc>
          <w:tcPr>
            <w:tcW w:w="2250" w:type="dxa"/>
            <w:vAlign w:val="center"/>
          </w:tcPr>
          <w:p w:rsidR="007A0C3D" w:rsidRPr="006F74CC" w:rsidRDefault="00A2431C">
            <w:pPr>
              <w:snapToGrid w:val="0"/>
              <w:spacing w:before="20" w:after="20"/>
              <w:ind w:left="-3"/>
              <w:rPr>
                <w:rFonts w:ascii="Arial" w:hAnsi="Arial" w:cs="Arial"/>
              </w:rPr>
            </w:pPr>
            <w:r>
              <w:rPr>
                <w:rFonts w:ascii="Arial" w:hAnsi="Arial" w:cs="Arial"/>
              </w:rPr>
              <w:t>30 Sep 2013</w:t>
            </w:r>
          </w:p>
        </w:tc>
      </w:tr>
      <w:tr w:rsidR="007A0C3D" w:rsidRPr="004C7887" w:rsidTr="00CB03A0">
        <w:tc>
          <w:tcPr>
            <w:tcW w:w="2322" w:type="dxa"/>
          </w:tcPr>
          <w:p w:rsidR="007A0C3D" w:rsidRPr="004C7887" w:rsidRDefault="00E2358A" w:rsidP="00CC2C91">
            <w:pPr>
              <w:snapToGrid w:val="0"/>
              <w:spacing w:before="20" w:after="20"/>
              <w:ind w:left="-3"/>
              <w:rPr>
                <w:rFonts w:ascii="Arial" w:hAnsi="Arial" w:cs="Arial"/>
                <w:b/>
              </w:rPr>
            </w:pPr>
            <w:r w:rsidRPr="004C7887">
              <w:rPr>
                <w:rFonts w:ascii="Arial" w:hAnsi="Arial" w:cs="Arial"/>
                <w:b/>
              </w:rPr>
              <w:t xml:space="preserve">Proposed </w:t>
            </w:r>
            <w:r w:rsidR="007A0C3D" w:rsidRPr="004C7887">
              <w:rPr>
                <w:rFonts w:ascii="Arial" w:hAnsi="Arial" w:cs="Arial"/>
                <w:b/>
              </w:rPr>
              <w:t>No.:</w:t>
            </w:r>
          </w:p>
        </w:tc>
        <w:tc>
          <w:tcPr>
            <w:tcW w:w="2700" w:type="dxa"/>
          </w:tcPr>
          <w:p w:rsidR="007A0C3D" w:rsidRPr="006F74CC" w:rsidRDefault="00D33ED8" w:rsidP="007070EB">
            <w:pPr>
              <w:snapToGrid w:val="0"/>
              <w:spacing w:before="20" w:after="20"/>
              <w:ind w:left="-3"/>
              <w:rPr>
                <w:rFonts w:ascii="Arial" w:hAnsi="Arial" w:cs="Arial"/>
              </w:rPr>
            </w:pPr>
            <w:r>
              <w:rPr>
                <w:rFonts w:ascii="Arial" w:hAnsi="Arial" w:cs="Arial"/>
              </w:rPr>
              <w:t>2013-0</w:t>
            </w:r>
            <w:r w:rsidR="007070EB">
              <w:rPr>
                <w:rFonts w:ascii="Arial" w:hAnsi="Arial" w:cs="Arial"/>
              </w:rPr>
              <w:t>371</w:t>
            </w:r>
          </w:p>
        </w:tc>
        <w:tc>
          <w:tcPr>
            <w:tcW w:w="1800" w:type="dxa"/>
          </w:tcPr>
          <w:p w:rsidR="007A0C3D" w:rsidRPr="004C7887" w:rsidRDefault="007A0C3D">
            <w:pPr>
              <w:snapToGrid w:val="0"/>
              <w:spacing w:before="20" w:after="20"/>
              <w:ind w:left="-3"/>
              <w:rPr>
                <w:rFonts w:ascii="Arial" w:hAnsi="Arial" w:cs="Arial"/>
                <w:b/>
              </w:rPr>
            </w:pPr>
            <w:r w:rsidRPr="004C7887">
              <w:rPr>
                <w:rFonts w:ascii="Arial" w:hAnsi="Arial" w:cs="Arial"/>
                <w:b/>
              </w:rPr>
              <w:t>Prepared by:</w:t>
            </w:r>
          </w:p>
        </w:tc>
        <w:tc>
          <w:tcPr>
            <w:tcW w:w="2250" w:type="dxa"/>
          </w:tcPr>
          <w:p w:rsidR="007A0C3D" w:rsidRPr="006F74CC" w:rsidRDefault="007A0C3D">
            <w:pPr>
              <w:snapToGrid w:val="0"/>
              <w:spacing w:before="20" w:after="20"/>
              <w:ind w:left="-3"/>
              <w:rPr>
                <w:rFonts w:ascii="Arial" w:hAnsi="Arial" w:cs="Arial"/>
              </w:rPr>
            </w:pPr>
            <w:r w:rsidRPr="006F74CC">
              <w:rPr>
                <w:rFonts w:ascii="Arial" w:hAnsi="Arial" w:cs="Arial"/>
              </w:rPr>
              <w:t>Nick Wagner</w:t>
            </w:r>
          </w:p>
        </w:tc>
      </w:tr>
    </w:tbl>
    <w:p w:rsidR="007A0C3D" w:rsidRPr="004C7887" w:rsidRDefault="007A0C3D">
      <w:pPr>
        <w:jc w:val="center"/>
        <w:rPr>
          <w:rFonts w:ascii="Arial" w:hAnsi="Arial" w:cs="Arial"/>
        </w:rPr>
      </w:pPr>
    </w:p>
    <w:p w:rsidR="00A2431C" w:rsidRDefault="0048481F" w:rsidP="00A2431C">
      <w:pPr>
        <w:tabs>
          <w:tab w:val="left" w:pos="360"/>
        </w:tabs>
        <w:rPr>
          <w:rFonts w:ascii="Arial" w:hAnsi="Arial" w:cs="Arial"/>
          <w:b/>
          <w:caps/>
          <w:color w:val="000000"/>
          <w:u w:val="single"/>
        </w:rPr>
      </w:pPr>
      <w:r>
        <w:rPr>
          <w:rFonts w:ascii="Arial" w:hAnsi="Arial" w:cs="Arial"/>
          <w:b/>
          <w:caps/>
          <w:color w:val="000000"/>
          <w:u w:val="single"/>
        </w:rPr>
        <w:t>SUBJECT</w:t>
      </w:r>
    </w:p>
    <w:p w:rsidR="0048481F" w:rsidRPr="0048481F" w:rsidRDefault="0048481F" w:rsidP="00A2431C">
      <w:pPr>
        <w:tabs>
          <w:tab w:val="left" w:pos="360"/>
        </w:tabs>
        <w:spacing w:after="240"/>
        <w:rPr>
          <w:rFonts w:ascii="Arial" w:hAnsi="Arial" w:cs="Arial"/>
          <w:color w:val="000000"/>
        </w:rPr>
      </w:pPr>
      <w:r>
        <w:rPr>
          <w:rFonts w:ascii="Arial" w:hAnsi="Arial" w:cs="Arial"/>
          <w:color w:val="000000"/>
        </w:rPr>
        <w:t>A</w:t>
      </w:r>
      <w:r w:rsidR="00D33ED8">
        <w:rPr>
          <w:rFonts w:ascii="Arial" w:hAnsi="Arial" w:cs="Arial"/>
          <w:color w:val="000000"/>
        </w:rPr>
        <w:t>n</w:t>
      </w:r>
      <w:r>
        <w:rPr>
          <w:rFonts w:ascii="Arial" w:hAnsi="Arial" w:cs="Arial"/>
          <w:color w:val="000000"/>
        </w:rPr>
        <w:t xml:space="preserve"> ordinance</w:t>
      </w:r>
      <w:r w:rsidR="00D33ED8">
        <w:rPr>
          <w:rFonts w:ascii="Arial" w:hAnsi="Arial" w:cs="Arial"/>
          <w:color w:val="000000"/>
        </w:rPr>
        <w:t xml:space="preserve"> adopting a collective bargaining agreement between King County and </w:t>
      </w:r>
      <w:r w:rsidR="00D6119B">
        <w:rPr>
          <w:rFonts w:ascii="Arial" w:hAnsi="Arial" w:cs="Arial"/>
          <w:color w:val="000000"/>
        </w:rPr>
        <w:t xml:space="preserve">the </w:t>
      </w:r>
      <w:r w:rsidR="00BB6F52">
        <w:rPr>
          <w:rFonts w:ascii="Arial" w:hAnsi="Arial" w:cs="Arial"/>
          <w:color w:val="000000"/>
        </w:rPr>
        <w:t xml:space="preserve">International Brotherhood of Teamsters, Local </w:t>
      </w:r>
      <w:r w:rsidR="00270166">
        <w:rPr>
          <w:rFonts w:ascii="Arial" w:hAnsi="Arial" w:cs="Arial"/>
          <w:color w:val="000000"/>
        </w:rPr>
        <w:t>117</w:t>
      </w:r>
      <w:r w:rsidR="00BB6F52">
        <w:rPr>
          <w:rFonts w:ascii="Arial" w:hAnsi="Arial" w:cs="Arial"/>
          <w:color w:val="000000"/>
        </w:rPr>
        <w:t xml:space="preserve">, covering </w:t>
      </w:r>
      <w:r w:rsidR="005330FF">
        <w:rPr>
          <w:rFonts w:ascii="Arial" w:hAnsi="Arial" w:cs="Arial"/>
          <w:color w:val="000000"/>
        </w:rPr>
        <w:t>17</w:t>
      </w:r>
      <w:r w:rsidR="00BB6F52">
        <w:rPr>
          <w:rFonts w:ascii="Arial" w:hAnsi="Arial" w:cs="Arial"/>
          <w:color w:val="000000"/>
        </w:rPr>
        <w:t xml:space="preserve"> employees </w:t>
      </w:r>
      <w:r w:rsidR="005330FF">
        <w:rPr>
          <w:rFonts w:ascii="Arial" w:hAnsi="Arial" w:cs="Arial"/>
          <w:color w:val="000000"/>
        </w:rPr>
        <w:t xml:space="preserve">who </w:t>
      </w:r>
      <w:r w:rsidR="008C73C3">
        <w:rPr>
          <w:rFonts w:ascii="Arial" w:hAnsi="Arial" w:cs="Arial"/>
          <w:color w:val="000000"/>
        </w:rPr>
        <w:t>serve as legislative analysts</w:t>
      </w:r>
      <w:r w:rsidR="005330FF">
        <w:rPr>
          <w:rFonts w:ascii="Arial" w:hAnsi="Arial" w:cs="Arial"/>
          <w:color w:val="000000"/>
        </w:rPr>
        <w:t xml:space="preserve"> for the county council</w:t>
      </w:r>
      <w:r>
        <w:rPr>
          <w:rFonts w:ascii="Arial" w:hAnsi="Arial" w:cs="Arial"/>
          <w:color w:val="000000"/>
        </w:rPr>
        <w:t>.</w:t>
      </w:r>
    </w:p>
    <w:p w:rsidR="0048481F" w:rsidRPr="0048481F" w:rsidRDefault="0048481F" w:rsidP="004C7887">
      <w:pPr>
        <w:tabs>
          <w:tab w:val="left" w:pos="360"/>
        </w:tabs>
        <w:rPr>
          <w:rFonts w:ascii="Arial" w:hAnsi="Arial" w:cs="Arial"/>
          <w:b/>
          <w:caps/>
          <w:color w:val="000000"/>
        </w:rPr>
      </w:pPr>
    </w:p>
    <w:p w:rsidR="0048481F" w:rsidRDefault="004C7887" w:rsidP="00A2431C">
      <w:pPr>
        <w:tabs>
          <w:tab w:val="left" w:pos="360"/>
        </w:tabs>
        <w:rPr>
          <w:rFonts w:ascii="Arial" w:hAnsi="Arial" w:cs="Arial"/>
          <w:b/>
          <w:caps/>
          <w:color w:val="000000"/>
          <w:u w:val="single"/>
        </w:rPr>
      </w:pPr>
      <w:r w:rsidRPr="003C2A86">
        <w:rPr>
          <w:rFonts w:ascii="Arial" w:hAnsi="Arial" w:cs="Arial"/>
          <w:b/>
          <w:caps/>
          <w:color w:val="000000"/>
          <w:u w:val="single"/>
        </w:rPr>
        <w:t>SUMMARY</w:t>
      </w:r>
    </w:p>
    <w:p w:rsidR="004C7887" w:rsidRPr="00621648" w:rsidRDefault="004C7887" w:rsidP="0048481F">
      <w:pPr>
        <w:tabs>
          <w:tab w:val="left" w:pos="360"/>
        </w:tabs>
        <w:spacing w:after="240"/>
        <w:rPr>
          <w:rFonts w:ascii="Arial" w:hAnsi="Arial" w:cs="Arial"/>
          <w:color w:val="000000"/>
        </w:rPr>
      </w:pPr>
      <w:r w:rsidRPr="00621648">
        <w:rPr>
          <w:rFonts w:ascii="Arial" w:hAnsi="Arial" w:cs="Arial"/>
          <w:color w:val="000000"/>
        </w:rPr>
        <w:t xml:space="preserve">Proposed Ordinance </w:t>
      </w:r>
      <w:r w:rsidR="00D33ED8">
        <w:rPr>
          <w:rFonts w:ascii="Arial" w:hAnsi="Arial" w:cs="Arial"/>
          <w:color w:val="000000"/>
        </w:rPr>
        <w:t>2013-0</w:t>
      </w:r>
      <w:r w:rsidR="005330FF">
        <w:rPr>
          <w:rFonts w:ascii="Arial" w:hAnsi="Arial" w:cs="Arial"/>
          <w:color w:val="000000"/>
        </w:rPr>
        <w:t>371</w:t>
      </w:r>
      <w:r w:rsidRPr="00621648">
        <w:rPr>
          <w:rFonts w:ascii="Arial" w:hAnsi="Arial" w:cs="Arial"/>
          <w:color w:val="000000"/>
        </w:rPr>
        <w:t xml:space="preserve"> (</w:t>
      </w:r>
      <w:r w:rsidR="0047222B">
        <w:rPr>
          <w:rFonts w:ascii="Arial" w:hAnsi="Arial" w:cs="Arial"/>
          <w:color w:val="000000"/>
        </w:rPr>
        <w:t>Att. 1 to this staff report</w:t>
      </w:r>
      <w:r w:rsidRPr="00621648">
        <w:rPr>
          <w:rFonts w:ascii="Arial" w:hAnsi="Arial" w:cs="Arial"/>
          <w:color w:val="000000"/>
        </w:rPr>
        <w:t>) would approve a collective bargaining agreement (CBA)</w:t>
      </w:r>
      <w:r>
        <w:rPr>
          <w:rFonts w:ascii="Arial" w:hAnsi="Arial" w:cs="Arial"/>
          <w:color w:val="000000"/>
        </w:rPr>
        <w:t xml:space="preserve"> </w:t>
      </w:r>
      <w:r w:rsidRPr="00621648">
        <w:rPr>
          <w:rFonts w:ascii="Arial" w:hAnsi="Arial" w:cs="Arial"/>
          <w:color w:val="000000"/>
        </w:rPr>
        <w:t xml:space="preserve">between King County and </w:t>
      </w:r>
      <w:r w:rsidR="00D6119B">
        <w:rPr>
          <w:rFonts w:ascii="Arial" w:hAnsi="Arial" w:cs="Arial"/>
          <w:color w:val="000000"/>
        </w:rPr>
        <w:t xml:space="preserve">the </w:t>
      </w:r>
      <w:r w:rsidR="00BB6F52" w:rsidRPr="00BB6F52">
        <w:rPr>
          <w:rFonts w:ascii="Arial" w:hAnsi="Arial" w:cs="Arial"/>
          <w:color w:val="000000"/>
        </w:rPr>
        <w:t xml:space="preserve">International Brotherhood of Teamsters, Local </w:t>
      </w:r>
      <w:r w:rsidR="005330FF">
        <w:rPr>
          <w:rFonts w:ascii="Arial" w:hAnsi="Arial" w:cs="Arial"/>
          <w:color w:val="000000"/>
        </w:rPr>
        <w:t>117</w:t>
      </w:r>
      <w:r w:rsidR="00D6119B">
        <w:rPr>
          <w:rFonts w:ascii="Arial" w:hAnsi="Arial" w:cs="Arial"/>
          <w:color w:val="000000"/>
        </w:rPr>
        <w:t>.</w:t>
      </w:r>
      <w:r w:rsidRPr="00621648">
        <w:rPr>
          <w:rFonts w:ascii="Arial" w:hAnsi="Arial" w:cs="Arial"/>
          <w:color w:val="000000"/>
        </w:rPr>
        <w:t xml:space="preserve"> T</w:t>
      </w:r>
      <w:r>
        <w:rPr>
          <w:rFonts w:ascii="Arial" w:hAnsi="Arial" w:cs="Arial"/>
          <w:color w:val="000000"/>
        </w:rPr>
        <w:t>he CBA (</w:t>
      </w:r>
      <w:r w:rsidR="0047222B">
        <w:rPr>
          <w:rFonts w:ascii="Arial" w:hAnsi="Arial" w:cs="Arial"/>
          <w:color w:val="000000"/>
        </w:rPr>
        <w:t>Att. 1-A</w:t>
      </w:r>
      <w:r w:rsidRPr="00621648">
        <w:rPr>
          <w:rFonts w:ascii="Arial" w:hAnsi="Arial" w:cs="Arial"/>
          <w:color w:val="000000"/>
        </w:rPr>
        <w:t>) cover</w:t>
      </w:r>
      <w:r w:rsidR="00D6119B">
        <w:rPr>
          <w:rFonts w:ascii="Arial" w:hAnsi="Arial" w:cs="Arial"/>
          <w:color w:val="000000"/>
        </w:rPr>
        <w:t xml:space="preserve">s </w:t>
      </w:r>
      <w:r w:rsidR="005330FF">
        <w:rPr>
          <w:rFonts w:ascii="Arial" w:hAnsi="Arial" w:cs="Arial"/>
          <w:color w:val="000000"/>
        </w:rPr>
        <w:t>17</w:t>
      </w:r>
      <w:r w:rsidR="00D6119B">
        <w:rPr>
          <w:rFonts w:ascii="Arial" w:hAnsi="Arial" w:cs="Arial"/>
          <w:color w:val="000000"/>
        </w:rPr>
        <w:t xml:space="preserve"> employees </w:t>
      </w:r>
      <w:r w:rsidR="005330FF" w:rsidRPr="005330FF">
        <w:rPr>
          <w:rFonts w:ascii="Arial" w:hAnsi="Arial" w:cs="Arial"/>
          <w:color w:val="000000"/>
        </w:rPr>
        <w:t xml:space="preserve">who </w:t>
      </w:r>
      <w:r w:rsidR="008C73C3" w:rsidRPr="008C73C3">
        <w:rPr>
          <w:rFonts w:ascii="Arial" w:hAnsi="Arial" w:cs="Arial"/>
          <w:color w:val="000000"/>
        </w:rPr>
        <w:t>serve as legislative analysts for the county council</w:t>
      </w:r>
      <w:r>
        <w:rPr>
          <w:rFonts w:ascii="Arial" w:hAnsi="Arial" w:cs="Arial"/>
          <w:color w:val="000000"/>
        </w:rPr>
        <w:t>.</w:t>
      </w:r>
    </w:p>
    <w:p w:rsidR="004C7887" w:rsidRPr="00621648" w:rsidRDefault="004C7887" w:rsidP="004C7887">
      <w:pPr>
        <w:pStyle w:val="BodyText"/>
        <w:numPr>
          <w:ilvl w:val="0"/>
          <w:numId w:val="8"/>
        </w:numPr>
        <w:tabs>
          <w:tab w:val="left" w:pos="1080"/>
        </w:tabs>
        <w:spacing w:before="240" w:after="240"/>
        <w:rPr>
          <w:rFonts w:ascii="Arial" w:hAnsi="Arial" w:cs="Arial"/>
          <w:b/>
          <w:color w:val="000000"/>
        </w:rPr>
      </w:pPr>
      <w:r w:rsidRPr="00621648">
        <w:rPr>
          <w:rFonts w:ascii="Arial" w:hAnsi="Arial" w:cs="Arial"/>
          <w:b/>
          <w:color w:val="000000"/>
        </w:rPr>
        <w:t>Term of the CBA</w:t>
      </w:r>
    </w:p>
    <w:p w:rsidR="004C7887" w:rsidRPr="00621648" w:rsidRDefault="004C7887" w:rsidP="0048481F">
      <w:pPr>
        <w:spacing w:before="240" w:after="240"/>
        <w:rPr>
          <w:rFonts w:ascii="Arial" w:hAnsi="Arial" w:cs="Arial"/>
          <w:color w:val="000000"/>
        </w:rPr>
      </w:pPr>
      <w:r w:rsidRPr="00621648">
        <w:rPr>
          <w:rFonts w:ascii="Arial" w:hAnsi="Arial" w:cs="Arial"/>
          <w:color w:val="000000"/>
        </w:rPr>
        <w:t xml:space="preserve">The CBA </w:t>
      </w:r>
      <w:r>
        <w:rPr>
          <w:rFonts w:ascii="Arial" w:hAnsi="Arial" w:cs="Arial"/>
          <w:color w:val="000000"/>
        </w:rPr>
        <w:t xml:space="preserve">covers the </w:t>
      </w:r>
      <w:r w:rsidR="002D31D5">
        <w:rPr>
          <w:rFonts w:ascii="Arial" w:hAnsi="Arial" w:cs="Arial"/>
          <w:color w:val="000000"/>
        </w:rPr>
        <w:t>one-year</w:t>
      </w:r>
      <w:r>
        <w:rPr>
          <w:rFonts w:ascii="Arial" w:hAnsi="Arial" w:cs="Arial"/>
          <w:color w:val="000000"/>
        </w:rPr>
        <w:t xml:space="preserve"> period from </w:t>
      </w:r>
      <w:r w:rsidR="00D6119B">
        <w:rPr>
          <w:rFonts w:ascii="Arial" w:hAnsi="Arial" w:cs="Arial"/>
          <w:color w:val="000000"/>
        </w:rPr>
        <w:t xml:space="preserve">1 </w:t>
      </w:r>
      <w:r w:rsidR="00B9400A">
        <w:rPr>
          <w:rFonts w:ascii="Arial" w:hAnsi="Arial" w:cs="Arial"/>
          <w:color w:val="000000"/>
        </w:rPr>
        <w:t>July 2013</w:t>
      </w:r>
      <w:r>
        <w:rPr>
          <w:rFonts w:ascii="Arial" w:hAnsi="Arial" w:cs="Arial"/>
          <w:color w:val="000000"/>
        </w:rPr>
        <w:t xml:space="preserve"> through </w:t>
      </w:r>
      <w:r w:rsidR="002D31D5">
        <w:rPr>
          <w:rFonts w:ascii="Arial" w:hAnsi="Arial" w:cs="Arial"/>
          <w:color w:val="000000"/>
        </w:rPr>
        <w:t>30 June</w:t>
      </w:r>
      <w:r w:rsidR="00BB6F52">
        <w:rPr>
          <w:rFonts w:ascii="Arial" w:hAnsi="Arial" w:cs="Arial"/>
          <w:color w:val="000000"/>
        </w:rPr>
        <w:t xml:space="preserve"> 2014</w:t>
      </w:r>
      <w:r w:rsidRPr="00621648">
        <w:rPr>
          <w:rFonts w:ascii="Arial" w:hAnsi="Arial" w:cs="Arial"/>
          <w:color w:val="000000"/>
        </w:rPr>
        <w:t>. (CBA Article </w:t>
      </w:r>
      <w:r w:rsidR="00B9400A">
        <w:rPr>
          <w:rFonts w:ascii="Arial" w:hAnsi="Arial" w:cs="Arial"/>
          <w:color w:val="000000"/>
        </w:rPr>
        <w:t>22</w:t>
      </w:r>
      <w:r w:rsidRPr="00621648">
        <w:rPr>
          <w:rFonts w:ascii="Arial" w:hAnsi="Arial" w:cs="Arial"/>
          <w:color w:val="000000"/>
        </w:rPr>
        <w:t xml:space="preserve">, </w:t>
      </w:r>
      <w:r w:rsidR="0047222B">
        <w:rPr>
          <w:rFonts w:ascii="Arial" w:hAnsi="Arial" w:cs="Arial"/>
          <w:color w:val="000000"/>
        </w:rPr>
        <w:t xml:space="preserve">Att. 1-A, </w:t>
      </w:r>
      <w:r w:rsidRPr="00621648">
        <w:rPr>
          <w:rFonts w:ascii="Arial" w:hAnsi="Arial" w:cs="Arial"/>
          <w:color w:val="000000"/>
        </w:rPr>
        <w:t>p.</w:t>
      </w:r>
      <w:r>
        <w:rPr>
          <w:rFonts w:ascii="Arial" w:hAnsi="Arial" w:cs="Arial"/>
          <w:color w:val="000000"/>
        </w:rPr>
        <w:t xml:space="preserve"> </w:t>
      </w:r>
      <w:r w:rsidR="00774B85">
        <w:rPr>
          <w:rFonts w:ascii="Arial" w:hAnsi="Arial" w:cs="Arial"/>
          <w:color w:val="000000"/>
        </w:rPr>
        <w:t>25</w:t>
      </w:r>
      <w:r w:rsidRPr="00621648">
        <w:rPr>
          <w:rFonts w:ascii="Arial" w:hAnsi="Arial" w:cs="Arial"/>
          <w:color w:val="000000"/>
        </w:rPr>
        <w:t>)</w:t>
      </w:r>
      <w:r w:rsidR="0047222B">
        <w:rPr>
          <w:rStyle w:val="FootnoteReference"/>
          <w:rFonts w:ascii="Arial" w:hAnsi="Arial" w:cs="Arial"/>
          <w:color w:val="000000"/>
        </w:rPr>
        <w:footnoteReference w:id="1"/>
      </w:r>
    </w:p>
    <w:p w:rsidR="004C7887" w:rsidRPr="00621648" w:rsidRDefault="004C7887" w:rsidP="004C7887">
      <w:pPr>
        <w:pStyle w:val="BodyText"/>
        <w:keepNext/>
        <w:numPr>
          <w:ilvl w:val="0"/>
          <w:numId w:val="8"/>
        </w:numPr>
        <w:tabs>
          <w:tab w:val="left" w:pos="1080"/>
        </w:tabs>
        <w:spacing w:before="240" w:after="240"/>
        <w:rPr>
          <w:rFonts w:ascii="Arial" w:hAnsi="Arial" w:cs="Arial"/>
          <w:b/>
          <w:color w:val="000000"/>
        </w:rPr>
      </w:pPr>
      <w:r w:rsidRPr="00621648">
        <w:rPr>
          <w:rFonts w:ascii="Arial" w:hAnsi="Arial" w:cs="Arial"/>
          <w:b/>
          <w:color w:val="000000"/>
        </w:rPr>
        <w:t>The Bargaining Unit</w:t>
      </w:r>
    </w:p>
    <w:p w:rsidR="00B9400A" w:rsidRPr="00B9400A" w:rsidRDefault="00B9400A" w:rsidP="00B9400A">
      <w:pPr>
        <w:spacing w:before="240"/>
        <w:rPr>
          <w:rFonts w:ascii="Arial" w:hAnsi="Arial" w:cs="Arial"/>
          <w:color w:val="333333"/>
        </w:rPr>
      </w:pPr>
      <w:r w:rsidRPr="00B9400A">
        <w:rPr>
          <w:rFonts w:ascii="Arial" w:hAnsi="Arial" w:cs="Arial"/>
          <w:color w:val="333333"/>
        </w:rPr>
        <w:t>The committee is familiar with the duties of the 1</w:t>
      </w:r>
      <w:r>
        <w:rPr>
          <w:rFonts w:ascii="Arial" w:hAnsi="Arial" w:cs="Arial"/>
          <w:color w:val="333333"/>
        </w:rPr>
        <w:t>7</w:t>
      </w:r>
      <w:r w:rsidRPr="00B9400A">
        <w:rPr>
          <w:rFonts w:ascii="Arial" w:hAnsi="Arial" w:cs="Arial"/>
          <w:color w:val="333333"/>
        </w:rPr>
        <w:t xml:space="preserve"> legislative analysts who make up the bargaining unit. As described in the Executive’s transmittal letter (</w:t>
      </w:r>
      <w:r>
        <w:rPr>
          <w:rFonts w:ascii="Arial" w:hAnsi="Arial" w:cs="Arial"/>
          <w:color w:val="333333"/>
        </w:rPr>
        <w:t>Att. 4)</w:t>
      </w:r>
      <w:r w:rsidRPr="00B9400A">
        <w:rPr>
          <w:rFonts w:ascii="Arial" w:hAnsi="Arial" w:cs="Arial"/>
          <w:color w:val="333333"/>
        </w:rPr>
        <w:t>, those duties include:</w:t>
      </w:r>
    </w:p>
    <w:p w:rsidR="00B9400A" w:rsidRPr="00B9400A" w:rsidRDefault="00B9400A" w:rsidP="00B9400A">
      <w:pPr>
        <w:numPr>
          <w:ilvl w:val="0"/>
          <w:numId w:val="39"/>
        </w:numPr>
        <w:spacing w:before="240"/>
        <w:rPr>
          <w:rFonts w:ascii="Arial" w:hAnsi="Arial" w:cs="Arial"/>
          <w:szCs w:val="26"/>
        </w:rPr>
      </w:pPr>
      <w:r w:rsidRPr="00B9400A">
        <w:rPr>
          <w:rFonts w:ascii="Arial" w:hAnsi="Arial" w:cs="Arial"/>
          <w:szCs w:val="26"/>
        </w:rPr>
        <w:t>“Conduct qualitative and quantitative analysis of policy issues”;</w:t>
      </w:r>
    </w:p>
    <w:p w:rsidR="00B9400A" w:rsidRPr="00B9400A" w:rsidRDefault="00B9400A" w:rsidP="00B9400A">
      <w:pPr>
        <w:numPr>
          <w:ilvl w:val="0"/>
          <w:numId w:val="39"/>
        </w:numPr>
        <w:spacing w:before="240"/>
        <w:rPr>
          <w:rFonts w:ascii="Arial" w:hAnsi="Arial" w:cs="Arial"/>
          <w:szCs w:val="26"/>
        </w:rPr>
      </w:pPr>
      <w:r w:rsidRPr="00B9400A">
        <w:rPr>
          <w:rFonts w:ascii="Arial" w:hAnsi="Arial" w:cs="Arial"/>
          <w:szCs w:val="26"/>
        </w:rPr>
        <w:t xml:space="preserve">“Assist with </w:t>
      </w:r>
      <w:r>
        <w:rPr>
          <w:rFonts w:ascii="Arial" w:hAnsi="Arial" w:cs="Arial"/>
          <w:szCs w:val="26"/>
        </w:rPr>
        <w:t xml:space="preserve">the </w:t>
      </w:r>
      <w:r w:rsidRPr="00B9400A">
        <w:rPr>
          <w:rFonts w:ascii="Arial" w:hAnsi="Arial" w:cs="Arial"/>
          <w:szCs w:val="26"/>
        </w:rPr>
        <w:t xml:space="preserve">development and implementation of </w:t>
      </w:r>
      <w:r>
        <w:rPr>
          <w:rFonts w:ascii="Arial" w:hAnsi="Arial" w:cs="Arial"/>
          <w:szCs w:val="26"/>
        </w:rPr>
        <w:t>C</w:t>
      </w:r>
      <w:r w:rsidRPr="00B9400A">
        <w:rPr>
          <w:rFonts w:ascii="Arial" w:hAnsi="Arial" w:cs="Arial"/>
          <w:szCs w:val="26"/>
        </w:rPr>
        <w:t xml:space="preserve">ouncil-directed initiatives”; and </w:t>
      </w:r>
    </w:p>
    <w:p w:rsidR="00B9400A" w:rsidRPr="00B9400A" w:rsidRDefault="00B9400A" w:rsidP="00B9400A">
      <w:pPr>
        <w:numPr>
          <w:ilvl w:val="0"/>
          <w:numId w:val="39"/>
        </w:numPr>
        <w:spacing w:before="240"/>
        <w:rPr>
          <w:rFonts w:ascii="Arial" w:hAnsi="Arial" w:cs="Arial"/>
          <w:szCs w:val="26"/>
        </w:rPr>
      </w:pPr>
      <w:r w:rsidRPr="00B9400A">
        <w:rPr>
          <w:rFonts w:ascii="Arial" w:hAnsi="Arial" w:cs="Arial"/>
          <w:szCs w:val="26"/>
        </w:rPr>
        <w:t>“Participate in the Council’s annual budget adoption process by analyzing budgets and financial plans.”</w:t>
      </w:r>
    </w:p>
    <w:p w:rsidR="00B9400A" w:rsidRPr="00B9400A" w:rsidRDefault="00B9400A" w:rsidP="00B9400A">
      <w:pPr>
        <w:spacing w:before="240"/>
        <w:ind w:left="52"/>
        <w:rPr>
          <w:rFonts w:ascii="Arial" w:hAnsi="Arial" w:cs="Arial"/>
          <w:szCs w:val="26"/>
        </w:rPr>
      </w:pPr>
      <w:r w:rsidRPr="00B9400A">
        <w:rPr>
          <w:rFonts w:ascii="Arial" w:hAnsi="Arial" w:cs="Arial"/>
          <w:szCs w:val="26"/>
        </w:rPr>
        <w:t>The bargaining unit consists of the following classifications:</w:t>
      </w:r>
    </w:p>
    <w:p w:rsidR="00B9400A" w:rsidRPr="00B9400A" w:rsidRDefault="00B9400A" w:rsidP="00B9400A">
      <w:pPr>
        <w:numPr>
          <w:ilvl w:val="0"/>
          <w:numId w:val="40"/>
        </w:numPr>
        <w:spacing w:before="240"/>
        <w:rPr>
          <w:rFonts w:ascii="Arial" w:hAnsi="Arial" w:cs="Arial"/>
          <w:szCs w:val="26"/>
        </w:rPr>
      </w:pPr>
      <w:r w:rsidRPr="00B9400A">
        <w:rPr>
          <w:rFonts w:ascii="Arial" w:hAnsi="Arial" w:cs="Arial"/>
          <w:szCs w:val="26"/>
        </w:rPr>
        <w:t>Legislative Analyst – Senior;</w:t>
      </w:r>
    </w:p>
    <w:p w:rsidR="00B9400A" w:rsidRPr="00B9400A" w:rsidRDefault="00B9400A" w:rsidP="00B9400A">
      <w:pPr>
        <w:numPr>
          <w:ilvl w:val="0"/>
          <w:numId w:val="40"/>
        </w:numPr>
        <w:spacing w:before="240"/>
        <w:rPr>
          <w:rFonts w:ascii="Arial" w:hAnsi="Arial" w:cs="Arial"/>
          <w:szCs w:val="26"/>
        </w:rPr>
      </w:pPr>
      <w:r w:rsidRPr="00B9400A">
        <w:rPr>
          <w:rFonts w:ascii="Arial" w:hAnsi="Arial" w:cs="Arial"/>
          <w:szCs w:val="26"/>
        </w:rPr>
        <w:lastRenderedPageBreak/>
        <w:t>Principal Legislative Analyst; and</w:t>
      </w:r>
    </w:p>
    <w:p w:rsidR="00B9400A" w:rsidRPr="00B9400A" w:rsidRDefault="00B9400A" w:rsidP="00B9400A">
      <w:pPr>
        <w:numPr>
          <w:ilvl w:val="0"/>
          <w:numId w:val="40"/>
        </w:numPr>
        <w:spacing w:before="240"/>
        <w:rPr>
          <w:rFonts w:ascii="Arial" w:hAnsi="Arial" w:cs="Arial"/>
          <w:szCs w:val="26"/>
        </w:rPr>
      </w:pPr>
      <w:r w:rsidRPr="00B9400A">
        <w:rPr>
          <w:rFonts w:ascii="Arial" w:hAnsi="Arial" w:cs="Arial"/>
          <w:szCs w:val="26"/>
        </w:rPr>
        <w:t>Principal Legislative Analyst – Senior.</w:t>
      </w:r>
    </w:p>
    <w:p w:rsidR="00B9400A" w:rsidRPr="00B9400A" w:rsidRDefault="00B9400A" w:rsidP="00B9400A">
      <w:pPr>
        <w:spacing w:before="240"/>
        <w:ind w:left="52"/>
        <w:rPr>
          <w:rFonts w:ascii="Arial" w:hAnsi="Arial" w:cs="Arial"/>
          <w:szCs w:val="26"/>
        </w:rPr>
      </w:pPr>
      <w:r w:rsidRPr="00B9400A">
        <w:rPr>
          <w:rFonts w:ascii="Arial" w:hAnsi="Arial" w:cs="Arial"/>
          <w:i/>
          <w:szCs w:val="26"/>
        </w:rPr>
        <w:t>See</w:t>
      </w:r>
      <w:r w:rsidRPr="00B9400A">
        <w:rPr>
          <w:rFonts w:ascii="Arial" w:hAnsi="Arial" w:cs="Arial"/>
          <w:szCs w:val="26"/>
        </w:rPr>
        <w:t xml:space="preserve"> CBA Section 8.1 </w:t>
      </w:r>
      <w:r w:rsidR="00EA4615">
        <w:rPr>
          <w:rFonts w:ascii="Arial" w:hAnsi="Arial" w:cs="Arial"/>
          <w:szCs w:val="26"/>
        </w:rPr>
        <w:t xml:space="preserve">(Att. 1-A, p. 14) </w:t>
      </w:r>
      <w:r w:rsidRPr="00B9400A">
        <w:rPr>
          <w:rFonts w:ascii="Arial" w:hAnsi="Arial" w:cs="Arial"/>
          <w:szCs w:val="26"/>
        </w:rPr>
        <w:t>and Addendum A (</w:t>
      </w:r>
      <w:r>
        <w:rPr>
          <w:rFonts w:ascii="Arial" w:hAnsi="Arial" w:cs="Arial"/>
          <w:szCs w:val="26"/>
        </w:rPr>
        <w:t>Att. 1-</w:t>
      </w:r>
      <w:r w:rsidR="008C73C3">
        <w:rPr>
          <w:rFonts w:ascii="Arial" w:hAnsi="Arial" w:cs="Arial"/>
          <w:szCs w:val="26"/>
        </w:rPr>
        <w:t>B</w:t>
      </w:r>
      <w:r w:rsidRPr="00B9400A">
        <w:rPr>
          <w:rFonts w:ascii="Arial" w:hAnsi="Arial" w:cs="Arial"/>
          <w:szCs w:val="26"/>
        </w:rPr>
        <w:t>).</w:t>
      </w:r>
    </w:p>
    <w:p w:rsidR="004C7887" w:rsidRPr="003C2A86" w:rsidRDefault="004C7887" w:rsidP="00A2431C">
      <w:pPr>
        <w:tabs>
          <w:tab w:val="left" w:pos="360"/>
        </w:tabs>
        <w:spacing w:before="240"/>
        <w:rPr>
          <w:rFonts w:ascii="Arial" w:hAnsi="Arial" w:cs="Arial"/>
          <w:b/>
          <w:caps/>
          <w:color w:val="000000"/>
          <w:u w:val="single"/>
        </w:rPr>
      </w:pPr>
      <w:r>
        <w:rPr>
          <w:rFonts w:ascii="Arial" w:hAnsi="Arial" w:cs="Arial"/>
          <w:b/>
          <w:caps/>
          <w:color w:val="000000"/>
          <w:u w:val="single"/>
        </w:rPr>
        <w:t>CHANGED</w:t>
      </w:r>
      <w:r w:rsidRPr="003C2A86">
        <w:rPr>
          <w:rFonts w:ascii="Arial" w:hAnsi="Arial" w:cs="Arial"/>
          <w:b/>
          <w:caps/>
          <w:color w:val="000000"/>
          <w:u w:val="single"/>
        </w:rPr>
        <w:t xml:space="preserve"> CONTRACT PROVISIONS</w:t>
      </w:r>
    </w:p>
    <w:p w:rsidR="004C7887" w:rsidRPr="00621648" w:rsidRDefault="00CA56F0" w:rsidP="0048481F">
      <w:pPr>
        <w:spacing w:after="240"/>
        <w:rPr>
          <w:rFonts w:ascii="Arial" w:hAnsi="Arial" w:cs="Arial"/>
          <w:color w:val="000000"/>
        </w:rPr>
      </w:pPr>
      <w:r>
        <w:rPr>
          <w:rFonts w:ascii="Arial" w:hAnsi="Arial" w:cs="Arial"/>
          <w:color w:val="000000"/>
        </w:rPr>
        <w:t xml:space="preserve">There are few changes from the previous CBA. </w:t>
      </w:r>
      <w:r w:rsidR="004C7887" w:rsidRPr="00621648">
        <w:rPr>
          <w:rFonts w:ascii="Arial" w:hAnsi="Arial" w:cs="Arial"/>
          <w:color w:val="000000"/>
        </w:rPr>
        <w:t xml:space="preserve">The </w:t>
      </w:r>
      <w:r w:rsidR="004C7887">
        <w:rPr>
          <w:rFonts w:ascii="Arial" w:hAnsi="Arial" w:cs="Arial"/>
          <w:color w:val="000000"/>
        </w:rPr>
        <w:t xml:space="preserve">most </w:t>
      </w:r>
      <w:r w:rsidR="00B72402">
        <w:rPr>
          <w:rFonts w:ascii="Arial" w:hAnsi="Arial" w:cs="Arial"/>
          <w:color w:val="000000"/>
        </w:rPr>
        <w:t>notable</w:t>
      </w:r>
      <w:r w:rsidR="004C7887">
        <w:rPr>
          <w:rFonts w:ascii="Arial" w:hAnsi="Arial" w:cs="Arial"/>
          <w:color w:val="000000"/>
        </w:rPr>
        <w:t xml:space="preserve"> are described below.</w:t>
      </w:r>
    </w:p>
    <w:p w:rsidR="005E492A" w:rsidRPr="00621648" w:rsidRDefault="005E492A" w:rsidP="005E492A">
      <w:pPr>
        <w:pStyle w:val="BodyText"/>
        <w:keepNext/>
        <w:numPr>
          <w:ilvl w:val="0"/>
          <w:numId w:val="32"/>
        </w:numPr>
        <w:spacing w:before="240" w:after="0"/>
        <w:rPr>
          <w:rFonts w:ascii="Arial" w:hAnsi="Arial" w:cs="Arial"/>
          <w:b/>
          <w:color w:val="000000"/>
        </w:rPr>
      </w:pPr>
      <w:r w:rsidRPr="00621648">
        <w:rPr>
          <w:rFonts w:ascii="Arial" w:hAnsi="Arial" w:cs="Arial"/>
          <w:b/>
          <w:color w:val="000000"/>
        </w:rPr>
        <w:t>COLAs</w:t>
      </w:r>
    </w:p>
    <w:p w:rsidR="005E492A" w:rsidRPr="00621648" w:rsidRDefault="00CA56F0" w:rsidP="005E492A">
      <w:pPr>
        <w:pStyle w:val="BodyText"/>
        <w:spacing w:before="240" w:after="240"/>
        <w:rPr>
          <w:rFonts w:ascii="Arial" w:hAnsi="Arial" w:cs="Arial"/>
          <w:color w:val="000000"/>
        </w:rPr>
      </w:pPr>
      <w:r>
        <w:rPr>
          <w:rFonts w:ascii="Arial" w:hAnsi="Arial" w:cs="Arial"/>
          <w:color w:val="000000"/>
        </w:rPr>
        <w:t xml:space="preserve">Section 8.2 (Att. 1-A, </w:t>
      </w:r>
      <w:r w:rsidR="00D21FF6">
        <w:rPr>
          <w:rFonts w:ascii="Arial" w:hAnsi="Arial" w:cs="Arial"/>
          <w:color w:val="000000"/>
        </w:rPr>
        <w:t>p</w:t>
      </w:r>
      <w:r>
        <w:rPr>
          <w:rFonts w:ascii="Arial" w:hAnsi="Arial" w:cs="Arial"/>
          <w:color w:val="000000"/>
        </w:rPr>
        <w:t xml:space="preserve">p. </w:t>
      </w:r>
      <w:r w:rsidR="00D21FF6">
        <w:rPr>
          <w:rFonts w:ascii="Arial" w:hAnsi="Arial" w:cs="Arial"/>
          <w:color w:val="000000"/>
        </w:rPr>
        <w:t>14-15</w:t>
      </w:r>
      <w:r>
        <w:rPr>
          <w:rFonts w:ascii="Arial" w:hAnsi="Arial" w:cs="Arial"/>
          <w:color w:val="000000"/>
        </w:rPr>
        <w:t xml:space="preserve">) and </w:t>
      </w:r>
      <w:r w:rsidR="002F35E3">
        <w:rPr>
          <w:rFonts w:ascii="Arial" w:hAnsi="Arial" w:cs="Arial"/>
          <w:color w:val="000000"/>
        </w:rPr>
        <w:t>Addendum B to</w:t>
      </w:r>
      <w:r w:rsidR="005E492A">
        <w:rPr>
          <w:rFonts w:ascii="Arial" w:hAnsi="Arial" w:cs="Arial"/>
          <w:color w:val="000000"/>
        </w:rPr>
        <w:t xml:space="preserve"> the CBA (</w:t>
      </w:r>
      <w:r w:rsidR="0047222B">
        <w:rPr>
          <w:rFonts w:ascii="Arial" w:hAnsi="Arial" w:cs="Arial"/>
          <w:color w:val="000000"/>
        </w:rPr>
        <w:t xml:space="preserve">Att. </w:t>
      </w:r>
      <w:r w:rsidR="003D2595">
        <w:rPr>
          <w:rFonts w:ascii="Arial" w:hAnsi="Arial" w:cs="Arial"/>
          <w:color w:val="000000"/>
        </w:rPr>
        <w:t>1-</w:t>
      </w:r>
      <w:r w:rsidR="0047222B">
        <w:rPr>
          <w:rFonts w:ascii="Arial" w:hAnsi="Arial" w:cs="Arial"/>
          <w:color w:val="000000"/>
        </w:rPr>
        <w:t>C</w:t>
      </w:r>
      <w:r w:rsidR="005E492A" w:rsidRPr="00621648">
        <w:rPr>
          <w:rFonts w:ascii="Arial" w:hAnsi="Arial" w:cs="Arial"/>
          <w:color w:val="000000"/>
        </w:rPr>
        <w:t>)</w:t>
      </w:r>
      <w:r w:rsidR="009A67BC">
        <w:rPr>
          <w:rFonts w:ascii="Arial" w:hAnsi="Arial" w:cs="Arial"/>
          <w:color w:val="000000"/>
        </w:rPr>
        <w:t xml:space="preserve"> </w:t>
      </w:r>
      <w:r w:rsidR="005E492A">
        <w:rPr>
          <w:rFonts w:ascii="Arial" w:hAnsi="Arial" w:cs="Arial"/>
          <w:color w:val="000000"/>
        </w:rPr>
        <w:t>provide</w:t>
      </w:r>
      <w:r w:rsidR="005E492A" w:rsidRPr="00621648">
        <w:rPr>
          <w:rFonts w:ascii="Arial" w:hAnsi="Arial" w:cs="Arial"/>
          <w:color w:val="000000"/>
        </w:rPr>
        <w:t xml:space="preserve"> for the following cost of living adjustments (COLAs), which </w:t>
      </w:r>
      <w:r w:rsidR="00E24E00">
        <w:rPr>
          <w:rFonts w:ascii="Arial" w:hAnsi="Arial" w:cs="Arial"/>
          <w:color w:val="000000"/>
        </w:rPr>
        <w:t xml:space="preserve">had previously been agreed to by MOA in 20122 and </w:t>
      </w:r>
      <w:r w:rsidR="005E492A" w:rsidRPr="00621648">
        <w:rPr>
          <w:rFonts w:ascii="Arial" w:hAnsi="Arial" w:cs="Arial"/>
          <w:color w:val="000000"/>
        </w:rPr>
        <w:t xml:space="preserve">are the same as those agreed </w:t>
      </w:r>
      <w:r w:rsidR="009A67BC">
        <w:rPr>
          <w:rFonts w:ascii="Arial" w:hAnsi="Arial" w:cs="Arial"/>
          <w:color w:val="000000"/>
        </w:rPr>
        <w:t xml:space="preserve">to </w:t>
      </w:r>
      <w:r w:rsidR="006B1490">
        <w:rPr>
          <w:rFonts w:ascii="Arial" w:hAnsi="Arial" w:cs="Arial"/>
          <w:color w:val="000000"/>
        </w:rPr>
        <w:t>with</w:t>
      </w:r>
      <w:r w:rsidR="009A67BC">
        <w:rPr>
          <w:rFonts w:ascii="Arial" w:hAnsi="Arial" w:cs="Arial"/>
          <w:color w:val="000000"/>
        </w:rPr>
        <w:t xml:space="preserve"> the vast majority of the c</w:t>
      </w:r>
      <w:r w:rsidR="005E492A" w:rsidRPr="00621648">
        <w:rPr>
          <w:rFonts w:ascii="Arial" w:hAnsi="Arial" w:cs="Arial"/>
          <w:color w:val="000000"/>
        </w:rPr>
        <w:t>ounty’s represented employees</w:t>
      </w:r>
      <w:r w:rsidR="005E492A">
        <w:rPr>
          <w:rFonts w:ascii="Arial" w:hAnsi="Arial" w:cs="Arial"/>
          <w:color w:val="000000"/>
        </w:rPr>
        <w:t xml:space="preserve"> for the years in question</w:t>
      </w:r>
      <w:r w:rsidR="005E492A" w:rsidRPr="00621648">
        <w:rPr>
          <w:rFonts w:ascii="Arial" w:hAnsi="Arial" w:cs="Arial"/>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818"/>
        <w:gridCol w:w="5060"/>
        <w:gridCol w:w="987"/>
      </w:tblGrid>
      <w:tr w:rsidR="005E492A" w:rsidRPr="00621648" w:rsidTr="009B6894">
        <w:trPr>
          <w:jc w:val="center"/>
        </w:trPr>
        <w:tc>
          <w:tcPr>
            <w:tcW w:w="818" w:type="dxa"/>
            <w:shd w:val="clear" w:color="auto" w:fill="D9D9D9"/>
            <w:vAlign w:val="center"/>
          </w:tcPr>
          <w:p w:rsidR="005E492A" w:rsidRPr="004D48B4" w:rsidRDefault="005E492A" w:rsidP="009A67BC">
            <w:pPr>
              <w:pStyle w:val="BodyText"/>
              <w:spacing w:after="0"/>
              <w:jc w:val="center"/>
              <w:rPr>
                <w:rFonts w:ascii="Arial" w:hAnsi="Arial" w:cs="Arial"/>
                <w:b/>
                <w:color w:val="000000"/>
              </w:rPr>
            </w:pPr>
            <w:r w:rsidRPr="004D48B4">
              <w:rPr>
                <w:rFonts w:ascii="Arial" w:hAnsi="Arial" w:cs="Arial"/>
                <w:b/>
                <w:color w:val="000000"/>
              </w:rPr>
              <w:t>Year</w:t>
            </w:r>
          </w:p>
        </w:tc>
        <w:tc>
          <w:tcPr>
            <w:tcW w:w="5060" w:type="dxa"/>
            <w:shd w:val="clear" w:color="auto" w:fill="D9D9D9"/>
            <w:vAlign w:val="center"/>
          </w:tcPr>
          <w:p w:rsidR="005E492A" w:rsidRPr="004D48B4" w:rsidRDefault="005E492A" w:rsidP="009A67BC">
            <w:pPr>
              <w:pStyle w:val="BodyText"/>
              <w:spacing w:after="0"/>
              <w:jc w:val="center"/>
              <w:rPr>
                <w:rFonts w:ascii="Arial" w:hAnsi="Arial" w:cs="Arial"/>
                <w:b/>
                <w:color w:val="000000"/>
              </w:rPr>
            </w:pPr>
            <w:r w:rsidRPr="004D48B4">
              <w:rPr>
                <w:rFonts w:ascii="Arial" w:hAnsi="Arial" w:cs="Arial"/>
                <w:b/>
                <w:color w:val="000000"/>
              </w:rPr>
              <w:t>COLA Formula</w:t>
            </w:r>
          </w:p>
        </w:tc>
        <w:tc>
          <w:tcPr>
            <w:tcW w:w="987" w:type="dxa"/>
            <w:shd w:val="clear" w:color="auto" w:fill="D9D9D9"/>
            <w:vAlign w:val="center"/>
          </w:tcPr>
          <w:p w:rsidR="005E492A" w:rsidRPr="004D48B4" w:rsidRDefault="005E492A" w:rsidP="009A67BC">
            <w:pPr>
              <w:pStyle w:val="BodyText"/>
              <w:spacing w:after="0"/>
              <w:jc w:val="center"/>
              <w:rPr>
                <w:rFonts w:ascii="Arial" w:hAnsi="Arial" w:cs="Arial"/>
                <w:b/>
                <w:color w:val="000000"/>
              </w:rPr>
            </w:pPr>
            <w:r w:rsidRPr="004D48B4">
              <w:rPr>
                <w:rFonts w:ascii="Arial" w:hAnsi="Arial" w:cs="Arial"/>
                <w:b/>
                <w:color w:val="000000"/>
              </w:rPr>
              <w:t>COLA</w:t>
            </w:r>
            <w:r w:rsidRPr="004D48B4">
              <w:rPr>
                <w:rStyle w:val="FootnoteReference"/>
                <w:rFonts w:ascii="Arial" w:hAnsi="Arial" w:cs="Arial"/>
                <w:b/>
                <w:color w:val="000000"/>
              </w:rPr>
              <w:footnoteReference w:id="2"/>
            </w:r>
          </w:p>
        </w:tc>
      </w:tr>
      <w:tr w:rsidR="005E492A" w:rsidRPr="00621648" w:rsidTr="009B6894">
        <w:trPr>
          <w:jc w:val="center"/>
        </w:trPr>
        <w:tc>
          <w:tcPr>
            <w:tcW w:w="818" w:type="dxa"/>
            <w:shd w:val="clear" w:color="auto" w:fill="D9D9D9"/>
            <w:vAlign w:val="center"/>
          </w:tcPr>
          <w:p w:rsidR="005E492A" w:rsidRPr="004D48B4" w:rsidRDefault="005E492A" w:rsidP="009A67BC">
            <w:pPr>
              <w:pStyle w:val="BodyText"/>
              <w:spacing w:after="0"/>
              <w:jc w:val="center"/>
              <w:rPr>
                <w:rFonts w:ascii="Arial" w:hAnsi="Arial" w:cs="Arial"/>
                <w:b/>
                <w:color w:val="000000"/>
              </w:rPr>
            </w:pPr>
            <w:r w:rsidRPr="004D48B4">
              <w:rPr>
                <w:rFonts w:ascii="Arial" w:hAnsi="Arial" w:cs="Arial"/>
                <w:b/>
                <w:color w:val="000000"/>
              </w:rPr>
              <w:t>2013</w:t>
            </w:r>
          </w:p>
        </w:tc>
        <w:tc>
          <w:tcPr>
            <w:tcW w:w="5060" w:type="dxa"/>
            <w:vAlign w:val="center"/>
          </w:tcPr>
          <w:p w:rsidR="005E492A" w:rsidRPr="004D48B4" w:rsidRDefault="005E492A" w:rsidP="009A67BC">
            <w:pPr>
              <w:pStyle w:val="BodyText"/>
              <w:spacing w:after="0"/>
              <w:jc w:val="center"/>
              <w:rPr>
                <w:rFonts w:ascii="Arial" w:hAnsi="Arial" w:cs="Arial"/>
                <w:color w:val="000000"/>
              </w:rPr>
            </w:pPr>
            <w:r w:rsidRPr="004D48B4">
              <w:rPr>
                <w:rFonts w:ascii="Arial" w:hAnsi="Arial" w:cs="Arial"/>
                <w:color w:val="000000"/>
              </w:rPr>
              <w:t>95% of CPI-W increase for Seattle-Tacoma-Bremerton,</w:t>
            </w:r>
            <w:r w:rsidR="00B9400A" w:rsidRPr="004D48B4">
              <w:rPr>
                <w:rStyle w:val="FootnoteReference"/>
                <w:rFonts w:ascii="Arial" w:hAnsi="Arial" w:cs="Arial"/>
                <w:color w:val="000000"/>
              </w:rPr>
              <w:t xml:space="preserve"> </w:t>
            </w:r>
            <w:r w:rsidR="00B9400A" w:rsidRPr="004D48B4">
              <w:rPr>
                <w:rStyle w:val="FootnoteReference"/>
                <w:rFonts w:ascii="Arial" w:hAnsi="Arial" w:cs="Arial"/>
                <w:color w:val="000000"/>
              </w:rPr>
              <w:footnoteReference w:id="3"/>
            </w:r>
            <w:r w:rsidRPr="004D48B4">
              <w:rPr>
                <w:rFonts w:ascii="Arial" w:hAnsi="Arial" w:cs="Arial"/>
                <w:color w:val="000000"/>
              </w:rPr>
              <w:t xml:space="preserve"> with 0% floor and no ceiling</w:t>
            </w:r>
          </w:p>
        </w:tc>
        <w:tc>
          <w:tcPr>
            <w:tcW w:w="987" w:type="dxa"/>
            <w:vAlign w:val="center"/>
          </w:tcPr>
          <w:p w:rsidR="005E492A" w:rsidRPr="004D48B4" w:rsidRDefault="005E492A" w:rsidP="009A67BC">
            <w:pPr>
              <w:pStyle w:val="BodyText"/>
              <w:spacing w:after="0"/>
              <w:jc w:val="center"/>
              <w:rPr>
                <w:rFonts w:ascii="Arial" w:hAnsi="Arial" w:cs="Arial"/>
                <w:color w:val="000000"/>
              </w:rPr>
            </w:pPr>
            <w:r w:rsidRPr="004D48B4">
              <w:rPr>
                <w:rFonts w:ascii="Arial" w:hAnsi="Arial" w:cs="Arial"/>
                <w:color w:val="000000"/>
              </w:rPr>
              <w:t>3.09%</w:t>
            </w:r>
          </w:p>
        </w:tc>
      </w:tr>
      <w:tr w:rsidR="005E492A" w:rsidRPr="00621648" w:rsidTr="009B6894">
        <w:trPr>
          <w:jc w:val="center"/>
        </w:trPr>
        <w:tc>
          <w:tcPr>
            <w:tcW w:w="818" w:type="dxa"/>
            <w:shd w:val="clear" w:color="auto" w:fill="D9D9D9"/>
            <w:vAlign w:val="center"/>
          </w:tcPr>
          <w:p w:rsidR="005E492A" w:rsidRPr="00803B86" w:rsidRDefault="005E492A" w:rsidP="009A67BC">
            <w:pPr>
              <w:pStyle w:val="BodyText"/>
              <w:spacing w:after="0"/>
              <w:jc w:val="center"/>
              <w:rPr>
                <w:rFonts w:ascii="Arial" w:hAnsi="Arial" w:cs="Arial"/>
                <w:b/>
                <w:color w:val="000000"/>
              </w:rPr>
            </w:pPr>
            <w:r w:rsidRPr="00803B86">
              <w:rPr>
                <w:rFonts w:ascii="Arial" w:hAnsi="Arial" w:cs="Arial"/>
                <w:b/>
                <w:color w:val="000000"/>
              </w:rPr>
              <w:t>2014</w:t>
            </w:r>
          </w:p>
        </w:tc>
        <w:tc>
          <w:tcPr>
            <w:tcW w:w="5060" w:type="dxa"/>
            <w:vAlign w:val="center"/>
          </w:tcPr>
          <w:p w:rsidR="005E492A" w:rsidRPr="00803B86" w:rsidRDefault="005E492A" w:rsidP="009A67BC">
            <w:pPr>
              <w:pStyle w:val="BodyText"/>
              <w:spacing w:after="0"/>
              <w:jc w:val="center"/>
              <w:rPr>
                <w:rFonts w:ascii="Arial" w:hAnsi="Arial" w:cs="Arial"/>
                <w:color w:val="000000"/>
              </w:rPr>
            </w:pPr>
            <w:r w:rsidRPr="00803B86">
              <w:rPr>
                <w:rFonts w:ascii="Arial" w:hAnsi="Arial" w:cs="Arial"/>
                <w:color w:val="000000"/>
              </w:rPr>
              <w:t>95% of CPI-W increase for Seattle-Tacoma-Bremerton, with 0% floor and no ceiling</w:t>
            </w:r>
          </w:p>
        </w:tc>
        <w:tc>
          <w:tcPr>
            <w:tcW w:w="987" w:type="dxa"/>
            <w:vAlign w:val="center"/>
          </w:tcPr>
          <w:p w:rsidR="005E492A" w:rsidRPr="004D48B4" w:rsidRDefault="00B9400A" w:rsidP="009A67BC">
            <w:pPr>
              <w:pStyle w:val="BodyText"/>
              <w:spacing w:after="0"/>
              <w:jc w:val="center"/>
              <w:rPr>
                <w:rFonts w:ascii="Arial" w:hAnsi="Arial" w:cs="Arial"/>
                <w:color w:val="000000"/>
              </w:rPr>
            </w:pPr>
            <w:r>
              <w:rPr>
                <w:rFonts w:ascii="Arial" w:hAnsi="Arial" w:cs="Arial"/>
                <w:color w:val="000000"/>
              </w:rPr>
              <w:t>1.67</w:t>
            </w:r>
            <w:r w:rsidR="005E492A" w:rsidRPr="00803B86">
              <w:rPr>
                <w:rFonts w:ascii="Arial" w:hAnsi="Arial" w:cs="Arial"/>
                <w:color w:val="000000"/>
              </w:rPr>
              <w:t>%</w:t>
            </w:r>
          </w:p>
        </w:tc>
      </w:tr>
    </w:tbl>
    <w:p w:rsidR="009E5E5D" w:rsidRDefault="009E5E5D" w:rsidP="009A67BC">
      <w:pPr>
        <w:pStyle w:val="BodyText"/>
        <w:spacing w:before="240" w:after="240"/>
        <w:rPr>
          <w:rFonts w:ascii="Arial" w:hAnsi="Arial" w:cs="Arial"/>
          <w:color w:val="000000"/>
        </w:rPr>
      </w:pPr>
      <w:r>
        <w:rPr>
          <w:rFonts w:ascii="Arial" w:hAnsi="Arial" w:cs="Arial"/>
          <w:color w:val="000000"/>
        </w:rPr>
        <w:t>The fiscal impact of the COLAs is described in the Fiscal Note (</w:t>
      </w:r>
      <w:r w:rsidR="003D2595">
        <w:rPr>
          <w:rFonts w:ascii="Arial" w:hAnsi="Arial" w:cs="Arial"/>
          <w:color w:val="000000"/>
        </w:rPr>
        <w:t xml:space="preserve">Att. </w:t>
      </w:r>
      <w:r w:rsidR="009026C4">
        <w:rPr>
          <w:rFonts w:ascii="Arial" w:hAnsi="Arial" w:cs="Arial"/>
          <w:color w:val="000000"/>
        </w:rPr>
        <w:t>5</w:t>
      </w:r>
      <w:r>
        <w:rPr>
          <w:rFonts w:ascii="Arial" w:hAnsi="Arial" w:cs="Arial"/>
          <w:color w:val="000000"/>
        </w:rPr>
        <w:t xml:space="preserve">). The </w:t>
      </w:r>
      <w:r w:rsidR="009026C4">
        <w:rPr>
          <w:rFonts w:ascii="Arial" w:hAnsi="Arial" w:cs="Arial"/>
          <w:color w:val="000000"/>
        </w:rPr>
        <w:t xml:space="preserve">COLA for 2013 is </w:t>
      </w:r>
      <w:r w:rsidR="00D21FF6">
        <w:rPr>
          <w:rFonts w:ascii="Arial" w:hAnsi="Arial" w:cs="Arial"/>
          <w:color w:val="000000"/>
        </w:rPr>
        <w:t xml:space="preserve">already </w:t>
      </w:r>
      <w:r w:rsidR="009026C4">
        <w:rPr>
          <w:rFonts w:ascii="Arial" w:hAnsi="Arial" w:cs="Arial"/>
          <w:color w:val="000000"/>
        </w:rPr>
        <w:t xml:space="preserve">being paid, </w:t>
      </w:r>
      <w:r>
        <w:rPr>
          <w:rFonts w:ascii="Arial" w:hAnsi="Arial" w:cs="Arial"/>
          <w:color w:val="000000"/>
        </w:rPr>
        <w:t xml:space="preserve">since </w:t>
      </w:r>
      <w:r w:rsidR="008C73C3">
        <w:rPr>
          <w:rFonts w:ascii="Arial" w:hAnsi="Arial" w:cs="Arial"/>
          <w:color w:val="000000"/>
        </w:rPr>
        <w:t>it</w:t>
      </w:r>
      <w:r>
        <w:rPr>
          <w:rFonts w:ascii="Arial" w:hAnsi="Arial" w:cs="Arial"/>
          <w:color w:val="000000"/>
        </w:rPr>
        <w:t xml:space="preserve"> was required pursuant to </w:t>
      </w:r>
      <w:r w:rsidR="008C73C3">
        <w:rPr>
          <w:rFonts w:ascii="Arial" w:hAnsi="Arial" w:cs="Arial"/>
          <w:color w:val="000000"/>
        </w:rPr>
        <w:t>the “zero COLA” MOA</w:t>
      </w:r>
      <w:r>
        <w:rPr>
          <w:rFonts w:ascii="Arial" w:hAnsi="Arial" w:cs="Arial"/>
          <w:color w:val="000000"/>
        </w:rPr>
        <w:t>.</w:t>
      </w:r>
    </w:p>
    <w:p w:rsidR="005E492A" w:rsidRDefault="009026C4" w:rsidP="009A67BC">
      <w:pPr>
        <w:pStyle w:val="BodyText"/>
        <w:spacing w:before="240" w:after="240"/>
        <w:rPr>
          <w:rFonts w:ascii="Arial" w:hAnsi="Arial" w:cs="Arial"/>
          <w:color w:val="000000"/>
        </w:rPr>
      </w:pPr>
      <w:r>
        <w:rPr>
          <w:rFonts w:ascii="Arial" w:hAnsi="Arial" w:cs="Arial"/>
          <w:color w:val="000000"/>
        </w:rPr>
        <w:t>Addendum B</w:t>
      </w:r>
      <w:r w:rsidR="005E492A">
        <w:rPr>
          <w:rFonts w:ascii="Arial" w:hAnsi="Arial" w:cs="Arial"/>
          <w:color w:val="000000"/>
        </w:rPr>
        <w:t xml:space="preserve"> </w:t>
      </w:r>
      <w:r w:rsidR="003D2595">
        <w:rPr>
          <w:rFonts w:ascii="Arial" w:hAnsi="Arial" w:cs="Arial"/>
          <w:color w:val="000000"/>
        </w:rPr>
        <w:t xml:space="preserve">(Att. 1-C) </w:t>
      </w:r>
      <w:r w:rsidR="005E492A">
        <w:rPr>
          <w:rFonts w:ascii="Arial" w:hAnsi="Arial" w:cs="Arial"/>
          <w:color w:val="000000"/>
        </w:rPr>
        <w:t xml:space="preserve">also </w:t>
      </w:r>
      <w:r w:rsidR="005E492A" w:rsidRPr="00621648">
        <w:rPr>
          <w:rFonts w:ascii="Arial" w:hAnsi="Arial" w:cs="Arial"/>
          <w:color w:val="000000"/>
        </w:rPr>
        <w:t>provide</w:t>
      </w:r>
      <w:r w:rsidR="005E492A">
        <w:rPr>
          <w:rFonts w:ascii="Arial" w:hAnsi="Arial" w:cs="Arial"/>
          <w:color w:val="000000"/>
        </w:rPr>
        <w:t>s</w:t>
      </w:r>
      <w:r w:rsidR="005E492A" w:rsidRPr="00621648">
        <w:rPr>
          <w:rFonts w:ascii="Arial" w:hAnsi="Arial" w:cs="Arial"/>
          <w:color w:val="000000"/>
        </w:rPr>
        <w:t xml:space="preserve"> that COLA negotiations will be reopened if, comparing the current year to the previous year, there is either (1)</w:t>
      </w:r>
      <w:r w:rsidR="005E492A" w:rsidRPr="0048481F">
        <w:rPr>
          <w:rFonts w:ascii="Arial" w:hAnsi="Arial" w:cs="Arial"/>
          <w:color w:val="000000"/>
        </w:rPr>
        <w:t> </w:t>
      </w:r>
      <w:r w:rsidR="005E492A" w:rsidRPr="00621648">
        <w:rPr>
          <w:rFonts w:ascii="Arial" w:hAnsi="Arial" w:cs="Arial"/>
          <w:color w:val="000000"/>
        </w:rPr>
        <w:t>an increase in the King County unemployment rate of more than two percentage points or (2) a decline of more than seven percent in county retail sales. Each year by July 30th the county will assess whether either of these conditions has been met.</w:t>
      </w:r>
      <w:r w:rsidR="005E492A">
        <w:rPr>
          <w:rFonts w:ascii="Arial" w:hAnsi="Arial" w:cs="Arial"/>
          <w:color w:val="000000"/>
        </w:rPr>
        <w:t xml:space="preserve"> This is the same as the reopener that </w:t>
      </w:r>
      <w:r w:rsidR="0066104C">
        <w:rPr>
          <w:rFonts w:ascii="Arial" w:hAnsi="Arial" w:cs="Arial"/>
          <w:color w:val="000000"/>
        </w:rPr>
        <w:t xml:space="preserve">the county has agreed to with </w:t>
      </w:r>
      <w:r w:rsidR="005E492A">
        <w:rPr>
          <w:rFonts w:ascii="Arial" w:hAnsi="Arial" w:cs="Arial"/>
          <w:color w:val="000000"/>
        </w:rPr>
        <w:t>the vast majority of the county’s represented employees.</w:t>
      </w:r>
    </w:p>
    <w:p w:rsidR="005E492A" w:rsidRPr="00DF2F78" w:rsidRDefault="005E492A" w:rsidP="00B9400A">
      <w:pPr>
        <w:pStyle w:val="BodyText"/>
        <w:keepNext/>
        <w:numPr>
          <w:ilvl w:val="0"/>
          <w:numId w:val="32"/>
        </w:numPr>
        <w:spacing w:before="240" w:after="0"/>
        <w:rPr>
          <w:rFonts w:ascii="Arial" w:hAnsi="Arial" w:cs="Arial"/>
          <w:b/>
          <w:color w:val="000000"/>
        </w:rPr>
      </w:pPr>
      <w:r>
        <w:rPr>
          <w:rFonts w:ascii="Arial" w:hAnsi="Arial" w:cs="Arial"/>
          <w:b/>
          <w:color w:val="000000"/>
        </w:rPr>
        <w:t>No changes in pay range</w:t>
      </w:r>
      <w:r w:rsidR="0066104C">
        <w:rPr>
          <w:rFonts w:ascii="Arial" w:hAnsi="Arial" w:cs="Arial"/>
          <w:b/>
          <w:color w:val="000000"/>
        </w:rPr>
        <w:t>s</w:t>
      </w:r>
    </w:p>
    <w:p w:rsidR="005E492A" w:rsidRDefault="005E492A" w:rsidP="009A67BC">
      <w:pPr>
        <w:pStyle w:val="BodyText"/>
        <w:spacing w:before="240" w:after="240"/>
        <w:rPr>
          <w:rFonts w:ascii="Arial" w:hAnsi="Arial" w:cs="Arial"/>
          <w:color w:val="000000"/>
        </w:rPr>
      </w:pPr>
      <w:r w:rsidRPr="00C14A44">
        <w:rPr>
          <w:rFonts w:ascii="Arial" w:hAnsi="Arial" w:cs="Arial"/>
          <w:color w:val="000000"/>
        </w:rPr>
        <w:t>The CBA includes no changes in the pay ranges for the bargaining unit</w:t>
      </w:r>
      <w:r w:rsidR="004A6191">
        <w:rPr>
          <w:rFonts w:ascii="Arial" w:hAnsi="Arial" w:cs="Arial"/>
          <w:color w:val="000000"/>
        </w:rPr>
        <w:t>, which are listed in Addendum A (Att. 1-B)</w:t>
      </w:r>
      <w:r w:rsidR="001D226B">
        <w:rPr>
          <w:rFonts w:ascii="Arial" w:hAnsi="Arial" w:cs="Arial"/>
          <w:color w:val="000000"/>
        </w:rPr>
        <w:t>.</w:t>
      </w:r>
    </w:p>
    <w:p w:rsidR="00403E26" w:rsidRDefault="00E86554" w:rsidP="00C64F43">
      <w:pPr>
        <w:pStyle w:val="BodyText"/>
        <w:keepNext/>
        <w:numPr>
          <w:ilvl w:val="0"/>
          <w:numId w:val="32"/>
        </w:numPr>
        <w:spacing w:before="240" w:after="0"/>
        <w:rPr>
          <w:rFonts w:ascii="Arial" w:hAnsi="Arial" w:cs="Arial"/>
          <w:b/>
          <w:color w:val="000000"/>
        </w:rPr>
      </w:pPr>
      <w:r>
        <w:rPr>
          <w:rFonts w:ascii="Arial" w:hAnsi="Arial" w:cs="Arial"/>
          <w:b/>
          <w:color w:val="000000"/>
        </w:rPr>
        <w:t>Team Leader Pilot Project</w:t>
      </w:r>
    </w:p>
    <w:p w:rsidR="00403E26" w:rsidRDefault="00E86554" w:rsidP="00094C52">
      <w:pPr>
        <w:pStyle w:val="BodyText"/>
        <w:spacing w:before="240" w:after="240"/>
        <w:rPr>
          <w:rFonts w:ascii="Arial" w:hAnsi="Arial" w:cs="Arial"/>
          <w:color w:val="000000"/>
        </w:rPr>
      </w:pPr>
      <w:r>
        <w:rPr>
          <w:rFonts w:ascii="Arial" w:hAnsi="Arial" w:cs="Arial"/>
          <w:color w:val="000000"/>
        </w:rPr>
        <w:t>Addendum D (Att. 1-E) is a</w:t>
      </w:r>
      <w:r w:rsidR="00E24E00">
        <w:rPr>
          <w:rFonts w:ascii="Arial" w:hAnsi="Arial" w:cs="Arial"/>
          <w:color w:val="000000"/>
        </w:rPr>
        <w:t xml:space="preserve"> previously-agreed</w:t>
      </w:r>
      <w:r>
        <w:rPr>
          <w:rFonts w:ascii="Arial" w:hAnsi="Arial" w:cs="Arial"/>
          <w:color w:val="000000"/>
        </w:rPr>
        <w:t xml:space="preserve"> MOA </w:t>
      </w:r>
      <w:r w:rsidR="00E24E00">
        <w:rPr>
          <w:rFonts w:ascii="Arial" w:hAnsi="Arial" w:cs="Arial"/>
          <w:color w:val="000000"/>
        </w:rPr>
        <w:t xml:space="preserve">from 2012 </w:t>
      </w:r>
      <w:r w:rsidR="00094C52">
        <w:rPr>
          <w:rFonts w:ascii="Arial" w:hAnsi="Arial" w:cs="Arial"/>
          <w:color w:val="000000"/>
        </w:rPr>
        <w:t>creating a pilot project whereby the council chief of staff or his designee may appoint up to five Team Leaders from among the bargaining unit members, subject to their consent to serve in that capacity. The purposes of the project is “</w:t>
      </w:r>
      <w:r w:rsidR="00094C52" w:rsidRPr="00094C52">
        <w:rPr>
          <w:rFonts w:ascii="Arial" w:hAnsi="Arial" w:cs="Arial"/>
          <w:color w:val="000000"/>
        </w:rPr>
        <w:t xml:space="preserve">to improve the delivery of services to </w:t>
      </w:r>
      <w:r w:rsidR="00094C52">
        <w:rPr>
          <w:rFonts w:ascii="Arial" w:hAnsi="Arial" w:cs="Arial"/>
          <w:color w:val="000000"/>
        </w:rPr>
        <w:t>council</w:t>
      </w:r>
      <w:r w:rsidR="00094C52" w:rsidRPr="00094C52">
        <w:rPr>
          <w:rFonts w:ascii="Arial" w:hAnsi="Arial" w:cs="Arial"/>
          <w:color w:val="000000"/>
        </w:rPr>
        <w:t>members, as well as to ensure</w:t>
      </w:r>
      <w:r w:rsidR="00094C52">
        <w:rPr>
          <w:rFonts w:ascii="Arial" w:hAnsi="Arial" w:cs="Arial"/>
          <w:color w:val="000000"/>
        </w:rPr>
        <w:t xml:space="preserve"> </w:t>
      </w:r>
      <w:r w:rsidR="00094C52" w:rsidRPr="00094C52">
        <w:rPr>
          <w:rFonts w:ascii="Arial" w:hAnsi="Arial" w:cs="Arial"/>
          <w:color w:val="000000"/>
        </w:rPr>
        <w:t>accurate and timely work</w:t>
      </w:r>
      <w:r w:rsidR="008C73C3">
        <w:rPr>
          <w:rFonts w:ascii="Arial" w:hAnsi="Arial" w:cs="Arial"/>
          <w:color w:val="000000"/>
        </w:rPr>
        <w:t>.” The specifi</w:t>
      </w:r>
      <w:r w:rsidR="00462F9E">
        <w:rPr>
          <w:rFonts w:ascii="Arial" w:hAnsi="Arial" w:cs="Arial"/>
          <w:color w:val="000000"/>
        </w:rPr>
        <w:t>c duties of the Team Leaders include:</w:t>
      </w:r>
    </w:p>
    <w:p w:rsidR="00462F9E" w:rsidRPr="00462F9E" w:rsidRDefault="00462F9E" w:rsidP="00462F9E">
      <w:pPr>
        <w:pStyle w:val="ListParagraph"/>
        <w:numPr>
          <w:ilvl w:val="0"/>
          <w:numId w:val="41"/>
        </w:numPr>
        <w:rPr>
          <w:rFonts w:ascii="Arial" w:hAnsi="Arial" w:cs="Arial"/>
        </w:rPr>
      </w:pPr>
      <w:r w:rsidRPr="00462F9E">
        <w:rPr>
          <w:rFonts w:ascii="Arial" w:hAnsi="Arial" w:cs="Arial"/>
        </w:rPr>
        <w:t>Consultation with committee lead staff to ensure adequate staffing to meet the needs of the committee.</w:t>
      </w:r>
    </w:p>
    <w:p w:rsidR="00462F9E" w:rsidRPr="00462F9E" w:rsidRDefault="00462F9E" w:rsidP="00462F9E">
      <w:pPr>
        <w:pStyle w:val="ListParagraph"/>
        <w:numPr>
          <w:ilvl w:val="0"/>
          <w:numId w:val="41"/>
        </w:numPr>
        <w:rPr>
          <w:rFonts w:ascii="Arial" w:hAnsi="Arial" w:cs="Arial"/>
        </w:rPr>
      </w:pPr>
      <w:r w:rsidRPr="00462F9E">
        <w:rPr>
          <w:rFonts w:ascii="Arial" w:hAnsi="Arial" w:cs="Arial"/>
        </w:rPr>
        <w:t>Mentoring and coaching assigned staff, as needed.</w:t>
      </w:r>
    </w:p>
    <w:p w:rsidR="00462F9E" w:rsidRPr="00462F9E" w:rsidRDefault="00462F9E" w:rsidP="00462F9E">
      <w:pPr>
        <w:pStyle w:val="ListParagraph"/>
        <w:numPr>
          <w:ilvl w:val="0"/>
          <w:numId w:val="41"/>
        </w:numPr>
        <w:rPr>
          <w:rFonts w:ascii="Arial" w:hAnsi="Arial" w:cs="Arial"/>
        </w:rPr>
      </w:pPr>
      <w:r w:rsidRPr="00462F9E">
        <w:rPr>
          <w:rFonts w:ascii="Arial" w:hAnsi="Arial" w:cs="Arial"/>
        </w:rPr>
        <w:t>Assigning work (in consultation with lead staff) to committee analysts and support staff.</w:t>
      </w:r>
    </w:p>
    <w:p w:rsidR="00462F9E" w:rsidRPr="00462F9E" w:rsidRDefault="00462F9E" w:rsidP="00462F9E">
      <w:pPr>
        <w:pStyle w:val="ListParagraph"/>
        <w:numPr>
          <w:ilvl w:val="0"/>
          <w:numId w:val="41"/>
        </w:numPr>
        <w:rPr>
          <w:rFonts w:ascii="Arial" w:hAnsi="Arial" w:cs="Arial"/>
        </w:rPr>
      </w:pPr>
      <w:r w:rsidRPr="00462F9E">
        <w:rPr>
          <w:rFonts w:ascii="Arial" w:hAnsi="Arial" w:cs="Arial"/>
        </w:rPr>
        <w:t>Reviewing work against professional and technical standards.</w:t>
      </w:r>
    </w:p>
    <w:p w:rsidR="00462F9E" w:rsidRPr="00462F9E" w:rsidRDefault="00462F9E" w:rsidP="00462F9E">
      <w:pPr>
        <w:pStyle w:val="ListParagraph"/>
        <w:numPr>
          <w:ilvl w:val="0"/>
          <w:numId w:val="41"/>
        </w:numPr>
        <w:rPr>
          <w:rFonts w:ascii="Arial" w:hAnsi="Arial" w:cs="Arial"/>
        </w:rPr>
      </w:pPr>
      <w:r w:rsidRPr="00462F9E">
        <w:rPr>
          <w:rFonts w:ascii="Arial" w:hAnsi="Arial" w:cs="Arial"/>
        </w:rPr>
        <w:t>Meeting on an ongoing basis with staff on his/her team to ensure that the work program goals are being met, and providing quarterly reviews based upon employee goals.</w:t>
      </w:r>
    </w:p>
    <w:p w:rsidR="00462F9E" w:rsidRPr="00462F9E" w:rsidRDefault="00462F9E" w:rsidP="00462F9E">
      <w:pPr>
        <w:pStyle w:val="ListParagraph"/>
        <w:numPr>
          <w:ilvl w:val="0"/>
          <w:numId w:val="41"/>
        </w:numPr>
        <w:rPr>
          <w:rFonts w:ascii="Arial" w:hAnsi="Arial" w:cs="Arial"/>
        </w:rPr>
      </w:pPr>
      <w:r w:rsidRPr="00462F9E">
        <w:rPr>
          <w:rFonts w:ascii="Arial" w:hAnsi="Arial" w:cs="Arial"/>
        </w:rPr>
        <w:t>Ensuring that needed training is provided, depending on availability of resources.</w:t>
      </w:r>
    </w:p>
    <w:p w:rsidR="00462F9E" w:rsidRDefault="00462F9E" w:rsidP="00462F9E">
      <w:pPr>
        <w:pStyle w:val="ListParagraph"/>
        <w:numPr>
          <w:ilvl w:val="0"/>
          <w:numId w:val="41"/>
        </w:numPr>
        <w:rPr>
          <w:rFonts w:ascii="Arial" w:hAnsi="Arial" w:cs="Arial"/>
        </w:rPr>
      </w:pPr>
      <w:r w:rsidRPr="00462F9E">
        <w:rPr>
          <w:rFonts w:ascii="Arial" w:hAnsi="Arial" w:cs="Arial"/>
        </w:rPr>
        <w:t>Preparing performance evaluations.</w:t>
      </w:r>
    </w:p>
    <w:p w:rsidR="00462F9E" w:rsidRDefault="00462F9E" w:rsidP="00462F9E">
      <w:pPr>
        <w:pStyle w:val="BodyText"/>
        <w:spacing w:before="240" w:after="240"/>
        <w:rPr>
          <w:rFonts w:ascii="Arial" w:hAnsi="Arial" w:cs="Arial"/>
          <w:color w:val="000000"/>
        </w:rPr>
      </w:pPr>
      <w:r>
        <w:rPr>
          <w:rFonts w:ascii="Arial" w:hAnsi="Arial" w:cs="Arial"/>
          <w:color w:val="000000"/>
        </w:rPr>
        <w:t>The MOA further provides, “</w:t>
      </w:r>
      <w:r w:rsidRPr="00462F9E">
        <w:rPr>
          <w:rFonts w:ascii="Arial" w:hAnsi="Arial" w:cs="Arial"/>
          <w:color w:val="000000"/>
        </w:rPr>
        <w:t>Employees designated as Team Leaders will be compensated at a rate which is five</w:t>
      </w:r>
      <w:r>
        <w:rPr>
          <w:rFonts w:ascii="Arial" w:hAnsi="Arial" w:cs="Arial"/>
          <w:color w:val="000000"/>
        </w:rPr>
        <w:t xml:space="preserve"> </w:t>
      </w:r>
      <w:r w:rsidRPr="00462F9E">
        <w:rPr>
          <w:rFonts w:ascii="Arial" w:hAnsi="Arial" w:cs="Arial"/>
          <w:color w:val="000000"/>
        </w:rPr>
        <w:t>percent (5%) greater than their regular rate for all time so assigned.</w:t>
      </w:r>
      <w:r>
        <w:rPr>
          <w:rFonts w:ascii="Arial" w:hAnsi="Arial" w:cs="Arial"/>
          <w:color w:val="000000"/>
        </w:rPr>
        <w:t>”</w:t>
      </w:r>
    </w:p>
    <w:p w:rsidR="00462F9E" w:rsidRPr="00462F9E" w:rsidRDefault="00462F9E" w:rsidP="00462F9E">
      <w:pPr>
        <w:pStyle w:val="BodyText"/>
        <w:spacing w:before="240" w:after="240"/>
        <w:rPr>
          <w:rFonts w:ascii="Arial" w:hAnsi="Arial" w:cs="Arial"/>
          <w:color w:val="000000"/>
        </w:rPr>
      </w:pPr>
      <w:r>
        <w:rPr>
          <w:rFonts w:ascii="Arial" w:hAnsi="Arial" w:cs="Arial"/>
          <w:color w:val="000000"/>
        </w:rPr>
        <w:t>Finally, the MOA also provides that, “[</w:t>
      </w:r>
      <w:proofErr w:type="spellStart"/>
      <w:r>
        <w:rPr>
          <w:rFonts w:ascii="Arial" w:hAnsi="Arial" w:cs="Arial"/>
          <w:color w:val="000000"/>
        </w:rPr>
        <w:t>i</w:t>
      </w:r>
      <w:proofErr w:type="spellEnd"/>
      <w:r>
        <w:rPr>
          <w:rFonts w:ascii="Arial" w:hAnsi="Arial" w:cs="Arial"/>
          <w:color w:val="000000"/>
        </w:rPr>
        <w:t>]</w:t>
      </w:r>
      <w:r w:rsidRPr="00462F9E">
        <w:rPr>
          <w:rFonts w:ascii="Arial" w:hAnsi="Arial" w:cs="Arial"/>
          <w:color w:val="000000"/>
        </w:rPr>
        <w:t>n consultation with the Union, the Chief of Staff or designee may review and revise</w:t>
      </w:r>
      <w:r>
        <w:rPr>
          <w:rFonts w:ascii="Arial" w:hAnsi="Arial" w:cs="Arial"/>
          <w:color w:val="000000"/>
        </w:rPr>
        <w:t xml:space="preserve"> </w:t>
      </w:r>
      <w:r w:rsidRPr="00462F9E">
        <w:rPr>
          <w:rFonts w:ascii="Arial" w:hAnsi="Arial" w:cs="Arial"/>
          <w:color w:val="000000"/>
        </w:rPr>
        <w:t>the program as needed, excluding revision of the compensation rate.</w:t>
      </w:r>
      <w:r>
        <w:rPr>
          <w:rFonts w:ascii="Arial" w:hAnsi="Arial" w:cs="Arial"/>
          <w:color w:val="000000"/>
        </w:rPr>
        <w:t>”</w:t>
      </w:r>
    </w:p>
    <w:p w:rsidR="00094C52" w:rsidRDefault="00094C52" w:rsidP="005E492A">
      <w:pPr>
        <w:pStyle w:val="BodyText"/>
        <w:keepNext/>
        <w:numPr>
          <w:ilvl w:val="0"/>
          <w:numId w:val="32"/>
        </w:numPr>
        <w:spacing w:before="240" w:after="0"/>
        <w:rPr>
          <w:rFonts w:ascii="Arial" w:hAnsi="Arial" w:cs="Arial"/>
          <w:b/>
          <w:color w:val="000000"/>
        </w:rPr>
      </w:pPr>
      <w:r>
        <w:rPr>
          <w:rFonts w:ascii="Arial" w:hAnsi="Arial" w:cs="Arial"/>
          <w:b/>
          <w:color w:val="000000"/>
        </w:rPr>
        <w:t>Performance evaluations</w:t>
      </w:r>
    </w:p>
    <w:p w:rsidR="00094C52" w:rsidRPr="00094C52" w:rsidRDefault="00094C52" w:rsidP="00094C52">
      <w:pPr>
        <w:pStyle w:val="BodyText"/>
        <w:spacing w:before="240" w:after="240"/>
        <w:rPr>
          <w:rFonts w:ascii="Arial" w:hAnsi="Arial" w:cs="Arial"/>
          <w:color w:val="000000"/>
        </w:rPr>
      </w:pPr>
      <w:r>
        <w:rPr>
          <w:rFonts w:ascii="Arial" w:hAnsi="Arial" w:cs="Arial"/>
          <w:color w:val="000000"/>
        </w:rPr>
        <w:t xml:space="preserve">Addendum </w:t>
      </w:r>
      <w:r w:rsidR="008C73C3">
        <w:rPr>
          <w:rFonts w:ascii="Arial" w:hAnsi="Arial" w:cs="Arial"/>
          <w:color w:val="000000"/>
        </w:rPr>
        <w:t xml:space="preserve">E (Att. 1-F) is a </w:t>
      </w:r>
      <w:r w:rsidR="00E24E00">
        <w:rPr>
          <w:rFonts w:ascii="Arial" w:hAnsi="Arial" w:cs="Arial"/>
          <w:color w:val="000000"/>
        </w:rPr>
        <w:t xml:space="preserve">previously-agreed </w:t>
      </w:r>
      <w:r w:rsidR="008C73C3">
        <w:rPr>
          <w:rFonts w:ascii="Arial" w:hAnsi="Arial" w:cs="Arial"/>
          <w:color w:val="000000"/>
        </w:rPr>
        <w:t xml:space="preserve">MOA </w:t>
      </w:r>
      <w:r w:rsidR="00E24E00">
        <w:rPr>
          <w:rFonts w:ascii="Arial" w:hAnsi="Arial" w:cs="Arial"/>
          <w:color w:val="000000"/>
        </w:rPr>
        <w:t xml:space="preserve">from 2012 </w:t>
      </w:r>
      <w:r w:rsidR="008C73C3">
        <w:rPr>
          <w:rFonts w:ascii="Arial" w:hAnsi="Arial" w:cs="Arial"/>
          <w:color w:val="000000"/>
        </w:rPr>
        <w:t>adopting a process for performance evaluations of bargaining unit members. The process has been reviewed and approved by the council’s Employment and Administration Committee.</w:t>
      </w:r>
      <w:r w:rsidR="00E24E00">
        <w:rPr>
          <w:rFonts w:ascii="Arial" w:hAnsi="Arial" w:cs="Arial"/>
          <w:color w:val="000000"/>
        </w:rPr>
        <w:t xml:space="preserve"> The MOA included attachments that consisted of the evaluation forms and evaluation instructions, which have not been made a part of Addendum E, but are incorporated by reference.</w:t>
      </w:r>
    </w:p>
    <w:p w:rsidR="009A6913" w:rsidRPr="009A6913" w:rsidRDefault="004A75AE" w:rsidP="005E492A">
      <w:pPr>
        <w:pStyle w:val="BodyText"/>
        <w:keepNext/>
        <w:numPr>
          <w:ilvl w:val="0"/>
          <w:numId w:val="32"/>
        </w:numPr>
        <w:spacing w:before="240" w:after="0"/>
        <w:rPr>
          <w:rFonts w:ascii="Arial" w:hAnsi="Arial" w:cs="Arial"/>
          <w:b/>
          <w:color w:val="000000"/>
        </w:rPr>
      </w:pPr>
      <w:r>
        <w:rPr>
          <w:rFonts w:ascii="Arial" w:hAnsi="Arial" w:cs="Arial"/>
          <w:b/>
          <w:color w:val="000000"/>
        </w:rPr>
        <w:t>C</w:t>
      </w:r>
      <w:r w:rsidR="009A6913">
        <w:rPr>
          <w:rFonts w:ascii="Arial" w:hAnsi="Arial" w:cs="Arial"/>
          <w:b/>
          <w:color w:val="000000"/>
        </w:rPr>
        <w:t>larifications</w:t>
      </w:r>
      <w:r>
        <w:rPr>
          <w:rFonts w:ascii="Arial" w:hAnsi="Arial" w:cs="Arial"/>
          <w:b/>
          <w:color w:val="000000"/>
        </w:rPr>
        <w:t xml:space="preserve"> and codifications</w:t>
      </w:r>
    </w:p>
    <w:p w:rsidR="00191315" w:rsidRPr="009A6913" w:rsidRDefault="008C4D84" w:rsidP="00107AF1">
      <w:pPr>
        <w:pStyle w:val="BodyText"/>
        <w:spacing w:before="240" w:after="240"/>
        <w:rPr>
          <w:rFonts w:ascii="Arial" w:hAnsi="Arial" w:cs="Arial"/>
          <w:color w:val="000000"/>
        </w:rPr>
      </w:pPr>
      <w:r>
        <w:rPr>
          <w:rFonts w:ascii="Arial" w:hAnsi="Arial" w:cs="Arial"/>
          <w:color w:val="000000"/>
        </w:rPr>
        <w:t xml:space="preserve">The proposed new CBA includes </w:t>
      </w:r>
      <w:r w:rsidR="00B9400A">
        <w:rPr>
          <w:rFonts w:ascii="Arial" w:hAnsi="Arial" w:cs="Arial"/>
          <w:color w:val="000000"/>
        </w:rPr>
        <w:t>several</w:t>
      </w:r>
      <w:r>
        <w:rPr>
          <w:rFonts w:ascii="Arial" w:hAnsi="Arial" w:cs="Arial"/>
          <w:color w:val="000000"/>
        </w:rPr>
        <w:t xml:space="preserve"> clarifications and codifications of existing practices.</w:t>
      </w:r>
      <w:r w:rsidR="00CA56F0">
        <w:rPr>
          <w:rStyle w:val="FootnoteReference"/>
          <w:rFonts w:ascii="Arial" w:hAnsi="Arial" w:cs="Arial"/>
          <w:color w:val="000000"/>
        </w:rPr>
        <w:footnoteReference w:id="4"/>
      </w:r>
    </w:p>
    <w:p w:rsidR="004C7887" w:rsidRPr="008B6B86" w:rsidRDefault="004C7887" w:rsidP="00A2431C">
      <w:pPr>
        <w:keepNext/>
        <w:tabs>
          <w:tab w:val="left" w:pos="360"/>
        </w:tabs>
        <w:spacing w:before="240"/>
        <w:rPr>
          <w:rFonts w:ascii="Arial" w:hAnsi="Arial" w:cs="Arial"/>
          <w:b/>
          <w:caps/>
          <w:color w:val="000000"/>
          <w:u w:val="single"/>
        </w:rPr>
      </w:pPr>
      <w:r w:rsidRPr="008B6B86">
        <w:rPr>
          <w:rFonts w:ascii="Arial" w:hAnsi="Arial" w:cs="Arial"/>
          <w:b/>
          <w:caps/>
          <w:color w:val="000000"/>
          <w:u w:val="single"/>
        </w:rPr>
        <w:t>FISCAL IMPACT</w:t>
      </w:r>
    </w:p>
    <w:p w:rsidR="00E86554" w:rsidRDefault="004C7887" w:rsidP="00E86554">
      <w:pPr>
        <w:pStyle w:val="BodyText"/>
        <w:spacing w:after="240"/>
        <w:rPr>
          <w:rFonts w:ascii="Arial" w:hAnsi="Arial" w:cs="Arial"/>
          <w:color w:val="000000"/>
        </w:rPr>
      </w:pPr>
      <w:r w:rsidRPr="00621648">
        <w:rPr>
          <w:rFonts w:ascii="Arial" w:hAnsi="Arial" w:cs="Arial"/>
          <w:color w:val="000000"/>
        </w:rPr>
        <w:t xml:space="preserve">The fiscal impact of the </w:t>
      </w:r>
      <w:r>
        <w:rPr>
          <w:rFonts w:ascii="Arial" w:hAnsi="Arial" w:cs="Arial"/>
          <w:color w:val="000000"/>
        </w:rPr>
        <w:t>CBA</w:t>
      </w:r>
      <w:r w:rsidR="00403E26">
        <w:rPr>
          <w:rFonts w:ascii="Arial" w:hAnsi="Arial" w:cs="Arial"/>
          <w:color w:val="000000"/>
        </w:rPr>
        <w:t xml:space="preserve">, which is attributable entirely to </w:t>
      </w:r>
      <w:r w:rsidR="00E86554">
        <w:rPr>
          <w:rFonts w:ascii="Arial" w:hAnsi="Arial" w:cs="Arial"/>
          <w:color w:val="000000"/>
        </w:rPr>
        <w:t>COLAs</w:t>
      </w:r>
      <w:r w:rsidR="00403E26">
        <w:rPr>
          <w:rFonts w:ascii="Arial" w:hAnsi="Arial" w:cs="Arial"/>
          <w:color w:val="000000"/>
        </w:rPr>
        <w:t>,</w:t>
      </w:r>
      <w:r w:rsidRPr="00621648">
        <w:rPr>
          <w:rFonts w:ascii="Arial" w:hAnsi="Arial" w:cs="Arial"/>
          <w:color w:val="000000"/>
        </w:rPr>
        <w:t xml:space="preserve"> is </w:t>
      </w:r>
      <w:r w:rsidR="00E86554">
        <w:rPr>
          <w:rFonts w:ascii="Arial" w:hAnsi="Arial" w:cs="Arial"/>
          <w:color w:val="000000"/>
        </w:rPr>
        <w:t>described</w:t>
      </w:r>
      <w:r>
        <w:rPr>
          <w:rFonts w:ascii="Arial" w:hAnsi="Arial" w:cs="Arial"/>
          <w:color w:val="000000"/>
        </w:rPr>
        <w:t xml:space="preserve"> in the Fiscal Note (</w:t>
      </w:r>
      <w:r w:rsidR="009E560D">
        <w:rPr>
          <w:rFonts w:ascii="Arial" w:hAnsi="Arial" w:cs="Arial"/>
          <w:color w:val="000000"/>
        </w:rPr>
        <w:t xml:space="preserve">Att. </w:t>
      </w:r>
      <w:r w:rsidR="00403E26">
        <w:rPr>
          <w:rFonts w:ascii="Arial" w:hAnsi="Arial" w:cs="Arial"/>
          <w:color w:val="000000"/>
        </w:rPr>
        <w:t>5</w:t>
      </w:r>
      <w:r>
        <w:rPr>
          <w:rFonts w:ascii="Arial" w:hAnsi="Arial" w:cs="Arial"/>
          <w:color w:val="000000"/>
        </w:rPr>
        <w:t>)</w:t>
      </w:r>
      <w:r w:rsidR="00E86554">
        <w:rPr>
          <w:rFonts w:ascii="Arial" w:hAnsi="Arial" w:cs="Arial"/>
          <w:color w:val="000000"/>
        </w:rPr>
        <w:t xml:space="preserve">; however, the total cost increase for 2014 was already provided for in the </w:t>
      </w:r>
      <w:r w:rsidR="00E24E00">
        <w:rPr>
          <w:rFonts w:ascii="Arial" w:hAnsi="Arial" w:cs="Arial"/>
          <w:color w:val="000000"/>
        </w:rPr>
        <w:t>zero</w:t>
      </w:r>
      <w:r w:rsidR="00E86554">
        <w:rPr>
          <w:rFonts w:ascii="Arial" w:hAnsi="Arial" w:cs="Arial"/>
          <w:color w:val="000000"/>
        </w:rPr>
        <w:t xml:space="preserve"> COLA agreement in which most county employees joined. The new CBA makes no change in that regard.</w:t>
      </w:r>
    </w:p>
    <w:p w:rsidR="00094C52" w:rsidRDefault="00094C52" w:rsidP="00E86554">
      <w:pPr>
        <w:pStyle w:val="BodyText"/>
        <w:spacing w:after="240"/>
        <w:rPr>
          <w:rFonts w:ascii="Arial" w:hAnsi="Arial" w:cs="Arial"/>
          <w:color w:val="000000"/>
        </w:rPr>
      </w:pPr>
      <w:r w:rsidRPr="00094C52">
        <w:rPr>
          <w:rFonts w:ascii="Arial" w:hAnsi="Arial" w:cs="Arial"/>
          <w:color w:val="000000"/>
        </w:rPr>
        <w:t xml:space="preserve">The Fiscal Note was originally prepared on the basis of the OEFA projection for 2014. Now that actual data have become available, OEFA has determined that the actual COLA for 2014 will be 1.67% instead of 2.00%; therefore, the actual fiscal impact for 2014 will be slightly lower than the amount indicated in the </w:t>
      </w:r>
      <w:r>
        <w:rPr>
          <w:rFonts w:ascii="Arial" w:hAnsi="Arial" w:cs="Arial"/>
          <w:color w:val="000000"/>
        </w:rPr>
        <w:t>Fiscal Note</w:t>
      </w:r>
      <w:r w:rsidRPr="00094C52">
        <w:rPr>
          <w:rFonts w:ascii="Arial" w:hAnsi="Arial" w:cs="Arial"/>
          <w:color w:val="000000"/>
        </w:rPr>
        <w:t>.</w:t>
      </w:r>
    </w:p>
    <w:p w:rsidR="004C7887" w:rsidRPr="008B6B86" w:rsidRDefault="004C7887" w:rsidP="00A2431C">
      <w:pPr>
        <w:keepNext/>
        <w:tabs>
          <w:tab w:val="left" w:pos="360"/>
        </w:tabs>
        <w:spacing w:before="240"/>
        <w:rPr>
          <w:rFonts w:ascii="Arial" w:hAnsi="Arial" w:cs="Arial"/>
          <w:b/>
          <w:caps/>
          <w:color w:val="000000"/>
          <w:u w:val="single"/>
        </w:rPr>
      </w:pPr>
      <w:r w:rsidRPr="008B6B86">
        <w:rPr>
          <w:rFonts w:ascii="Arial" w:hAnsi="Arial" w:cs="Arial"/>
          <w:b/>
          <w:caps/>
          <w:color w:val="000000"/>
          <w:u w:val="single"/>
        </w:rPr>
        <w:t>CONSISTENCY WITH LABOR POLICIES</w:t>
      </w:r>
    </w:p>
    <w:p w:rsidR="004C7887" w:rsidRDefault="00603058" w:rsidP="0048481F">
      <w:pPr>
        <w:pStyle w:val="BodyText"/>
        <w:spacing w:after="240"/>
        <w:rPr>
          <w:rFonts w:ascii="Arial" w:hAnsi="Arial" w:cs="Arial"/>
          <w:color w:val="000000"/>
        </w:rPr>
      </w:pPr>
      <w:r>
        <w:rPr>
          <w:rFonts w:ascii="Arial" w:hAnsi="Arial" w:cs="Arial"/>
          <w:color w:val="000000"/>
        </w:rPr>
        <w:t>T</w:t>
      </w:r>
      <w:r w:rsidR="004C7887">
        <w:rPr>
          <w:rFonts w:ascii="Arial" w:hAnsi="Arial" w:cs="Arial"/>
          <w:color w:val="000000"/>
        </w:rPr>
        <w:t xml:space="preserve">he proposed CBA </w:t>
      </w:r>
      <w:r>
        <w:rPr>
          <w:rFonts w:ascii="Arial" w:hAnsi="Arial" w:cs="Arial"/>
          <w:color w:val="000000"/>
        </w:rPr>
        <w:t>appears to be</w:t>
      </w:r>
      <w:r w:rsidR="004C7887">
        <w:rPr>
          <w:rFonts w:ascii="Arial" w:hAnsi="Arial" w:cs="Arial"/>
          <w:color w:val="000000"/>
        </w:rPr>
        <w:t xml:space="preserve"> consistent with the County’s labor policies.</w:t>
      </w:r>
    </w:p>
    <w:p w:rsidR="004C7887" w:rsidRPr="008B6B86" w:rsidRDefault="004C7887" w:rsidP="00A2431C">
      <w:pPr>
        <w:keepNext/>
        <w:tabs>
          <w:tab w:val="left" w:pos="360"/>
        </w:tabs>
        <w:spacing w:before="240"/>
        <w:rPr>
          <w:rFonts w:ascii="Arial" w:hAnsi="Arial" w:cs="Arial"/>
          <w:b/>
          <w:caps/>
          <w:color w:val="000000"/>
          <w:u w:val="single"/>
        </w:rPr>
      </w:pPr>
      <w:r w:rsidRPr="008B6B86">
        <w:rPr>
          <w:rFonts w:ascii="Arial" w:hAnsi="Arial" w:cs="Arial"/>
          <w:b/>
          <w:caps/>
          <w:color w:val="000000"/>
          <w:u w:val="single"/>
        </w:rPr>
        <w:t>LEGAL REVIEW</w:t>
      </w:r>
    </w:p>
    <w:p w:rsidR="004C7887" w:rsidRDefault="004C7887" w:rsidP="0048481F">
      <w:pPr>
        <w:pStyle w:val="BodyText"/>
        <w:spacing w:after="240"/>
        <w:rPr>
          <w:rFonts w:ascii="Arial" w:hAnsi="Arial" w:cs="Arial"/>
          <w:color w:val="000000"/>
        </w:rPr>
      </w:pPr>
      <w:r w:rsidRPr="00621648">
        <w:rPr>
          <w:rFonts w:ascii="Arial" w:hAnsi="Arial" w:cs="Arial"/>
          <w:color w:val="000000"/>
        </w:rPr>
        <w:t>The CBA has been reviewed by the Office of the Prosecuting Attorney, Civil Division. (</w:t>
      </w:r>
      <w:r w:rsidR="009E560D">
        <w:rPr>
          <w:rFonts w:ascii="Arial" w:hAnsi="Arial" w:cs="Arial"/>
          <w:color w:val="000000"/>
        </w:rPr>
        <w:t xml:space="preserve">Att. </w:t>
      </w:r>
      <w:r w:rsidR="00403E26">
        <w:rPr>
          <w:rFonts w:ascii="Arial" w:hAnsi="Arial" w:cs="Arial"/>
          <w:color w:val="000000"/>
        </w:rPr>
        <w:t>4</w:t>
      </w:r>
      <w:r w:rsidR="009E560D">
        <w:rPr>
          <w:rFonts w:ascii="Arial" w:hAnsi="Arial" w:cs="Arial"/>
          <w:color w:val="000000"/>
        </w:rPr>
        <w:t xml:space="preserve">: </w:t>
      </w:r>
      <w:r w:rsidRPr="00621648">
        <w:rPr>
          <w:rFonts w:ascii="Arial" w:hAnsi="Arial" w:cs="Arial"/>
          <w:color w:val="000000"/>
        </w:rPr>
        <w:t>Transmittal letter)</w:t>
      </w:r>
    </w:p>
    <w:p w:rsidR="00007598" w:rsidRPr="00A2431C" w:rsidRDefault="00007598" w:rsidP="00A2431C">
      <w:pPr>
        <w:keepNext/>
        <w:tabs>
          <w:tab w:val="left" w:pos="360"/>
        </w:tabs>
        <w:spacing w:before="240"/>
        <w:rPr>
          <w:rFonts w:ascii="Arial" w:hAnsi="Arial" w:cs="Arial"/>
          <w:b/>
          <w:caps/>
          <w:color w:val="000000"/>
          <w:u w:val="single"/>
        </w:rPr>
      </w:pPr>
      <w:r w:rsidRPr="00A2431C">
        <w:rPr>
          <w:rFonts w:ascii="Arial" w:hAnsi="Arial" w:cs="Arial"/>
          <w:b/>
          <w:caps/>
          <w:color w:val="000000"/>
          <w:u w:val="single"/>
        </w:rPr>
        <w:t>INVITED</w:t>
      </w:r>
    </w:p>
    <w:p w:rsidR="00007598" w:rsidRDefault="00094C52" w:rsidP="00007598">
      <w:pPr>
        <w:pStyle w:val="BodyText"/>
        <w:keepNext/>
        <w:numPr>
          <w:ilvl w:val="0"/>
          <w:numId w:val="37"/>
        </w:numPr>
        <w:spacing w:after="0"/>
        <w:ind w:left="720"/>
        <w:rPr>
          <w:rFonts w:ascii="Arial" w:hAnsi="Arial" w:cs="Arial"/>
          <w:color w:val="000000"/>
        </w:rPr>
      </w:pPr>
      <w:r>
        <w:rPr>
          <w:rFonts w:ascii="Arial" w:hAnsi="Arial" w:cs="Arial"/>
          <w:color w:val="000000"/>
        </w:rPr>
        <w:t>Sasha Alessi</w:t>
      </w:r>
      <w:r w:rsidR="00007598">
        <w:rPr>
          <w:rFonts w:ascii="Arial" w:hAnsi="Arial" w:cs="Arial"/>
          <w:color w:val="000000"/>
        </w:rPr>
        <w:t>, Labor Negotiator, King County Office of Labor Relations</w:t>
      </w:r>
    </w:p>
    <w:p w:rsidR="00007598" w:rsidRPr="006405A2" w:rsidRDefault="00094C52" w:rsidP="00094C52">
      <w:pPr>
        <w:pStyle w:val="BodyText"/>
        <w:keepNext/>
        <w:numPr>
          <w:ilvl w:val="0"/>
          <w:numId w:val="37"/>
        </w:numPr>
        <w:spacing w:after="0"/>
        <w:ind w:left="720"/>
        <w:rPr>
          <w:rFonts w:ascii="Arial" w:hAnsi="Arial" w:cs="Arial"/>
          <w:color w:val="000000"/>
        </w:rPr>
      </w:pPr>
      <w:r>
        <w:rPr>
          <w:rFonts w:ascii="Arial" w:hAnsi="Arial" w:cs="Arial"/>
          <w:color w:val="000000"/>
        </w:rPr>
        <w:t>Spencer Thal,</w:t>
      </w:r>
      <w:r w:rsidRPr="00094C52">
        <w:rPr>
          <w:rFonts w:ascii="Arial" w:hAnsi="Arial" w:cs="Arial"/>
          <w:color w:val="000000"/>
        </w:rPr>
        <w:t xml:space="preserve"> General Counsel, Teamsters, Local 117</w:t>
      </w:r>
    </w:p>
    <w:p w:rsidR="004C7887" w:rsidRPr="00A2431C" w:rsidRDefault="004C7887" w:rsidP="00A2431C">
      <w:pPr>
        <w:keepNext/>
        <w:tabs>
          <w:tab w:val="left" w:pos="360"/>
        </w:tabs>
        <w:spacing w:before="240"/>
        <w:rPr>
          <w:rFonts w:ascii="Arial" w:hAnsi="Arial" w:cs="Arial"/>
          <w:b/>
          <w:caps/>
          <w:color w:val="000000"/>
          <w:u w:val="single"/>
        </w:rPr>
      </w:pPr>
      <w:bookmarkStart w:id="0" w:name="_GoBack"/>
      <w:r w:rsidRPr="00A2431C">
        <w:rPr>
          <w:rFonts w:ascii="Arial" w:hAnsi="Arial" w:cs="Arial"/>
          <w:b/>
          <w:caps/>
          <w:color w:val="000000"/>
          <w:u w:val="single"/>
        </w:rPr>
        <w:t>ATTACHMENTS</w:t>
      </w:r>
      <w:r w:rsidRPr="00A2431C">
        <w:rPr>
          <w:rFonts w:ascii="Arial" w:hAnsi="Arial" w:cs="Arial"/>
          <w:b/>
          <w:caps/>
          <w:color w:val="000000"/>
          <w:u w:val="single"/>
        </w:rPr>
        <w:tab/>
      </w:r>
    </w:p>
    <w:bookmarkEnd w:id="0"/>
    <w:p w:rsidR="004C7887" w:rsidRPr="00621648" w:rsidRDefault="004C7887" w:rsidP="004A75AE">
      <w:pPr>
        <w:pStyle w:val="BodyText"/>
        <w:numPr>
          <w:ilvl w:val="0"/>
          <w:numId w:val="4"/>
        </w:numPr>
        <w:tabs>
          <w:tab w:val="right" w:leader="dot" w:pos="9090"/>
        </w:tabs>
        <w:spacing w:after="0"/>
        <w:ind w:right="2592"/>
        <w:rPr>
          <w:rFonts w:ascii="Arial" w:hAnsi="Arial" w:cs="Arial"/>
          <w:color w:val="000000"/>
        </w:rPr>
      </w:pPr>
      <w:r w:rsidRPr="00621648">
        <w:rPr>
          <w:rFonts w:ascii="Arial" w:hAnsi="Arial" w:cs="Arial"/>
          <w:color w:val="000000"/>
        </w:rPr>
        <w:t xml:space="preserve">Proposed Ordinance </w:t>
      </w:r>
      <w:r w:rsidR="008B6B86">
        <w:rPr>
          <w:rFonts w:ascii="Arial" w:hAnsi="Arial" w:cs="Arial"/>
          <w:color w:val="000000"/>
        </w:rPr>
        <w:t>2013-0</w:t>
      </w:r>
      <w:r w:rsidR="00094C52">
        <w:rPr>
          <w:rFonts w:ascii="Arial" w:hAnsi="Arial" w:cs="Arial"/>
          <w:color w:val="000000"/>
        </w:rPr>
        <w:t>371</w:t>
      </w:r>
    </w:p>
    <w:p w:rsidR="004C7887" w:rsidRDefault="004C7887" w:rsidP="00E44D79">
      <w:pPr>
        <w:pStyle w:val="BodyText"/>
        <w:tabs>
          <w:tab w:val="right" w:leader="dot" w:pos="9090"/>
        </w:tabs>
        <w:spacing w:after="0"/>
        <w:ind w:left="1080" w:right="72"/>
        <w:rPr>
          <w:rFonts w:ascii="Arial" w:hAnsi="Arial" w:cs="Arial"/>
          <w:color w:val="000000"/>
        </w:rPr>
      </w:pPr>
      <w:r w:rsidRPr="00621648">
        <w:rPr>
          <w:rFonts w:ascii="Arial" w:hAnsi="Arial" w:cs="Arial"/>
          <w:color w:val="000000"/>
        </w:rPr>
        <w:t>Att. A (C</w:t>
      </w:r>
      <w:r w:rsidR="009E560D">
        <w:rPr>
          <w:rFonts w:ascii="Arial" w:hAnsi="Arial" w:cs="Arial"/>
          <w:color w:val="000000"/>
        </w:rPr>
        <w:t>ollective Bargaining Agreement)</w:t>
      </w:r>
    </w:p>
    <w:p w:rsidR="008B6B86" w:rsidRDefault="009E560D" w:rsidP="00E44D79">
      <w:pPr>
        <w:pStyle w:val="BodyText"/>
        <w:tabs>
          <w:tab w:val="right" w:leader="dot" w:pos="9090"/>
        </w:tabs>
        <w:spacing w:after="0"/>
        <w:ind w:left="1080" w:right="72"/>
        <w:rPr>
          <w:rFonts w:ascii="Arial" w:hAnsi="Arial" w:cs="Arial"/>
          <w:color w:val="000000"/>
        </w:rPr>
      </w:pPr>
      <w:r>
        <w:rPr>
          <w:rFonts w:ascii="Arial" w:hAnsi="Arial" w:cs="Arial"/>
          <w:color w:val="000000"/>
        </w:rPr>
        <w:t>Att. B (</w:t>
      </w:r>
      <w:r w:rsidR="00E44D79">
        <w:rPr>
          <w:rFonts w:ascii="Arial" w:hAnsi="Arial" w:cs="Arial"/>
          <w:color w:val="000000"/>
        </w:rPr>
        <w:t xml:space="preserve">Addendum A: </w:t>
      </w:r>
      <w:r>
        <w:rPr>
          <w:rFonts w:ascii="Arial" w:hAnsi="Arial" w:cs="Arial"/>
          <w:color w:val="000000"/>
        </w:rPr>
        <w:t>Wages)</w:t>
      </w:r>
    </w:p>
    <w:p w:rsidR="008B6B86" w:rsidRDefault="008B6B86" w:rsidP="00E44D79">
      <w:pPr>
        <w:pStyle w:val="BodyText"/>
        <w:tabs>
          <w:tab w:val="right" w:leader="dot" w:pos="9090"/>
        </w:tabs>
        <w:spacing w:after="0"/>
        <w:ind w:left="1080" w:right="72"/>
        <w:rPr>
          <w:rFonts w:ascii="Arial" w:hAnsi="Arial" w:cs="Arial"/>
          <w:color w:val="000000"/>
        </w:rPr>
      </w:pPr>
      <w:r>
        <w:rPr>
          <w:rFonts w:ascii="Arial" w:hAnsi="Arial" w:cs="Arial"/>
          <w:color w:val="000000"/>
        </w:rPr>
        <w:t>Att</w:t>
      </w:r>
      <w:r w:rsidR="009E560D">
        <w:rPr>
          <w:rFonts w:ascii="Arial" w:hAnsi="Arial" w:cs="Arial"/>
          <w:color w:val="000000"/>
        </w:rPr>
        <w:t>. C (</w:t>
      </w:r>
      <w:r w:rsidR="00E44D79" w:rsidRPr="00E44D79">
        <w:rPr>
          <w:rFonts w:ascii="Arial" w:hAnsi="Arial" w:cs="Arial"/>
          <w:color w:val="000000"/>
        </w:rPr>
        <w:t xml:space="preserve">Addendum </w:t>
      </w:r>
      <w:r w:rsidR="00E44D79">
        <w:rPr>
          <w:rFonts w:ascii="Arial" w:hAnsi="Arial" w:cs="Arial"/>
          <w:color w:val="000000"/>
        </w:rPr>
        <w:t xml:space="preserve">B: </w:t>
      </w:r>
      <w:r w:rsidR="009E560D">
        <w:rPr>
          <w:rFonts w:ascii="Arial" w:hAnsi="Arial" w:cs="Arial"/>
          <w:color w:val="000000"/>
        </w:rPr>
        <w:t>MOA re. COLAs)</w:t>
      </w:r>
    </w:p>
    <w:p w:rsidR="008B4BEF" w:rsidRDefault="008B4BEF" w:rsidP="00E44D79">
      <w:pPr>
        <w:pStyle w:val="BodyText"/>
        <w:tabs>
          <w:tab w:val="right" w:leader="dot" w:pos="9090"/>
        </w:tabs>
        <w:spacing w:after="0"/>
        <w:ind w:left="1080" w:right="72"/>
        <w:rPr>
          <w:rFonts w:ascii="Arial" w:hAnsi="Arial" w:cs="Arial"/>
          <w:color w:val="000000"/>
        </w:rPr>
      </w:pPr>
      <w:r>
        <w:rPr>
          <w:rFonts w:ascii="Arial" w:hAnsi="Arial" w:cs="Arial"/>
          <w:color w:val="000000"/>
        </w:rPr>
        <w:t>Att. D (</w:t>
      </w:r>
      <w:r w:rsidR="00E44D79" w:rsidRPr="00E44D79">
        <w:rPr>
          <w:rFonts w:ascii="Arial" w:hAnsi="Arial" w:cs="Arial"/>
          <w:color w:val="000000"/>
        </w:rPr>
        <w:t xml:space="preserve">Addendum </w:t>
      </w:r>
      <w:r w:rsidR="00E44D79">
        <w:rPr>
          <w:rFonts w:ascii="Arial" w:hAnsi="Arial" w:cs="Arial"/>
          <w:color w:val="000000"/>
        </w:rPr>
        <w:t xml:space="preserve">C: </w:t>
      </w:r>
      <w:r>
        <w:rPr>
          <w:rFonts w:ascii="Arial" w:hAnsi="Arial" w:cs="Arial"/>
          <w:color w:val="000000"/>
        </w:rPr>
        <w:t>MOA clarifying CBA)</w:t>
      </w:r>
    </w:p>
    <w:p w:rsidR="00094C52" w:rsidRDefault="00094C52" w:rsidP="00E44D79">
      <w:pPr>
        <w:pStyle w:val="BodyText"/>
        <w:tabs>
          <w:tab w:val="right" w:leader="dot" w:pos="9090"/>
        </w:tabs>
        <w:spacing w:after="0"/>
        <w:ind w:left="1080" w:right="72"/>
        <w:rPr>
          <w:rFonts w:ascii="Arial" w:hAnsi="Arial" w:cs="Arial"/>
          <w:color w:val="000000"/>
        </w:rPr>
      </w:pPr>
      <w:r>
        <w:rPr>
          <w:rFonts w:ascii="Arial" w:hAnsi="Arial" w:cs="Arial"/>
          <w:color w:val="000000"/>
        </w:rPr>
        <w:t xml:space="preserve">Att. </w:t>
      </w:r>
      <w:r w:rsidR="008B4BEF">
        <w:rPr>
          <w:rFonts w:ascii="Arial" w:hAnsi="Arial" w:cs="Arial"/>
          <w:color w:val="000000"/>
        </w:rPr>
        <w:t>E</w:t>
      </w:r>
      <w:r>
        <w:rPr>
          <w:rFonts w:ascii="Arial" w:hAnsi="Arial" w:cs="Arial"/>
          <w:color w:val="000000"/>
        </w:rPr>
        <w:t xml:space="preserve"> (</w:t>
      </w:r>
      <w:r w:rsidR="00E44D79" w:rsidRPr="00E44D79">
        <w:rPr>
          <w:rFonts w:ascii="Arial" w:hAnsi="Arial" w:cs="Arial"/>
          <w:color w:val="000000"/>
        </w:rPr>
        <w:t xml:space="preserve">Addendum </w:t>
      </w:r>
      <w:r w:rsidR="00E44D79">
        <w:rPr>
          <w:rFonts w:ascii="Arial" w:hAnsi="Arial" w:cs="Arial"/>
          <w:color w:val="000000"/>
        </w:rPr>
        <w:t xml:space="preserve">D: </w:t>
      </w:r>
      <w:r>
        <w:rPr>
          <w:rFonts w:ascii="Arial" w:hAnsi="Arial" w:cs="Arial"/>
          <w:color w:val="000000"/>
        </w:rPr>
        <w:t>MOA re. Team Leader Pilot Project)</w:t>
      </w:r>
    </w:p>
    <w:p w:rsidR="00094C52" w:rsidRDefault="008B4BEF" w:rsidP="00E44D79">
      <w:pPr>
        <w:pStyle w:val="BodyText"/>
        <w:tabs>
          <w:tab w:val="right" w:leader="dot" w:pos="9090"/>
        </w:tabs>
        <w:spacing w:after="0"/>
        <w:ind w:left="1080" w:right="72"/>
        <w:rPr>
          <w:rFonts w:ascii="Arial" w:hAnsi="Arial" w:cs="Arial"/>
          <w:color w:val="000000"/>
        </w:rPr>
      </w:pPr>
      <w:r>
        <w:rPr>
          <w:rFonts w:ascii="Arial" w:hAnsi="Arial" w:cs="Arial"/>
          <w:color w:val="000000"/>
        </w:rPr>
        <w:t>Att. F</w:t>
      </w:r>
      <w:r w:rsidR="00094C52">
        <w:rPr>
          <w:rFonts w:ascii="Arial" w:hAnsi="Arial" w:cs="Arial"/>
          <w:color w:val="000000"/>
        </w:rPr>
        <w:t xml:space="preserve"> (</w:t>
      </w:r>
      <w:r w:rsidR="00E44D79" w:rsidRPr="00E44D79">
        <w:rPr>
          <w:rFonts w:ascii="Arial" w:hAnsi="Arial" w:cs="Arial"/>
          <w:color w:val="000000"/>
        </w:rPr>
        <w:t xml:space="preserve">Addendum </w:t>
      </w:r>
      <w:r w:rsidR="00E44D79">
        <w:rPr>
          <w:rFonts w:ascii="Arial" w:hAnsi="Arial" w:cs="Arial"/>
          <w:color w:val="000000"/>
        </w:rPr>
        <w:t xml:space="preserve">E: </w:t>
      </w:r>
      <w:r w:rsidR="00094C52">
        <w:rPr>
          <w:rFonts w:ascii="Arial" w:hAnsi="Arial" w:cs="Arial"/>
          <w:color w:val="000000"/>
        </w:rPr>
        <w:t>MOA re. Performance Evaluations)</w:t>
      </w:r>
    </w:p>
    <w:p w:rsidR="004C7887" w:rsidRPr="00621648" w:rsidRDefault="004C7887" w:rsidP="004A75AE">
      <w:pPr>
        <w:pStyle w:val="BodyText"/>
        <w:numPr>
          <w:ilvl w:val="0"/>
          <w:numId w:val="4"/>
        </w:numPr>
        <w:tabs>
          <w:tab w:val="left" w:pos="360"/>
          <w:tab w:val="left" w:pos="1080"/>
          <w:tab w:val="left" w:pos="1440"/>
          <w:tab w:val="right" w:leader="dot" w:pos="9090"/>
        </w:tabs>
        <w:spacing w:after="0"/>
        <w:ind w:right="2232"/>
        <w:rPr>
          <w:rFonts w:ascii="Arial" w:hAnsi="Arial" w:cs="Arial"/>
          <w:color w:val="000000"/>
        </w:rPr>
      </w:pPr>
      <w:r w:rsidRPr="00621648">
        <w:rPr>
          <w:rFonts w:ascii="Arial" w:hAnsi="Arial" w:cs="Arial"/>
          <w:color w:val="000000"/>
        </w:rPr>
        <w:t>C</w:t>
      </w:r>
      <w:r w:rsidR="009E560D">
        <w:rPr>
          <w:rFonts w:ascii="Arial" w:hAnsi="Arial" w:cs="Arial"/>
          <w:color w:val="000000"/>
        </w:rPr>
        <w:t>hecklist and Summary of Changes</w:t>
      </w:r>
    </w:p>
    <w:p w:rsidR="004C7887" w:rsidRPr="00621648" w:rsidRDefault="009E560D" w:rsidP="004A75AE">
      <w:pPr>
        <w:pStyle w:val="BodyText"/>
        <w:numPr>
          <w:ilvl w:val="0"/>
          <w:numId w:val="4"/>
        </w:numPr>
        <w:tabs>
          <w:tab w:val="left" w:pos="360"/>
          <w:tab w:val="left" w:pos="1080"/>
          <w:tab w:val="left" w:pos="1440"/>
          <w:tab w:val="right" w:leader="dot" w:pos="9090"/>
        </w:tabs>
        <w:spacing w:after="0"/>
        <w:ind w:right="2232"/>
        <w:rPr>
          <w:rFonts w:ascii="Arial" w:hAnsi="Arial" w:cs="Arial"/>
          <w:color w:val="000000"/>
        </w:rPr>
      </w:pPr>
      <w:r>
        <w:rPr>
          <w:rFonts w:ascii="Arial" w:hAnsi="Arial" w:cs="Arial"/>
          <w:color w:val="000000"/>
        </w:rPr>
        <w:t>Contract Summary</w:t>
      </w:r>
    </w:p>
    <w:p w:rsidR="004C7887" w:rsidRDefault="009E560D" w:rsidP="004A75AE">
      <w:pPr>
        <w:pStyle w:val="BodyText"/>
        <w:numPr>
          <w:ilvl w:val="0"/>
          <w:numId w:val="4"/>
        </w:numPr>
        <w:tabs>
          <w:tab w:val="left" w:pos="360"/>
          <w:tab w:val="left" w:pos="1080"/>
          <w:tab w:val="left" w:pos="1440"/>
          <w:tab w:val="right" w:leader="dot" w:pos="9090"/>
        </w:tabs>
        <w:spacing w:after="0"/>
        <w:ind w:right="2232"/>
        <w:rPr>
          <w:rFonts w:ascii="Arial" w:hAnsi="Arial" w:cs="Arial"/>
          <w:color w:val="000000"/>
        </w:rPr>
      </w:pPr>
      <w:r>
        <w:rPr>
          <w:rFonts w:ascii="Arial" w:hAnsi="Arial" w:cs="Arial"/>
          <w:color w:val="000000"/>
        </w:rPr>
        <w:t>Transmittal letter</w:t>
      </w:r>
    </w:p>
    <w:p w:rsidR="004C7887" w:rsidRPr="00DD53C0" w:rsidRDefault="004C7887" w:rsidP="004A75AE">
      <w:pPr>
        <w:pStyle w:val="BodyText"/>
        <w:numPr>
          <w:ilvl w:val="0"/>
          <w:numId w:val="4"/>
        </w:numPr>
        <w:tabs>
          <w:tab w:val="left" w:pos="360"/>
          <w:tab w:val="left" w:pos="1080"/>
          <w:tab w:val="left" w:pos="1440"/>
          <w:tab w:val="right" w:leader="dot" w:pos="9090"/>
        </w:tabs>
        <w:spacing w:after="0"/>
        <w:ind w:right="2232"/>
        <w:jc w:val="both"/>
        <w:rPr>
          <w:rFonts w:ascii="Arial" w:hAnsi="Arial" w:cs="Arial"/>
        </w:rPr>
      </w:pPr>
      <w:r w:rsidRPr="00DD53C0">
        <w:rPr>
          <w:rFonts w:ascii="Arial" w:hAnsi="Arial" w:cs="Arial"/>
          <w:color w:val="000000"/>
        </w:rPr>
        <w:t>Fiscal Note</w:t>
      </w:r>
    </w:p>
    <w:p w:rsidR="007A0C3D" w:rsidRDefault="007A0C3D">
      <w:pPr>
        <w:keepNext/>
      </w:pPr>
    </w:p>
    <w:sectPr w:rsidR="007A0C3D" w:rsidSect="00516B79">
      <w:headerReference w:type="even" r:id="rId9"/>
      <w:headerReference w:type="first" r:id="rId10"/>
      <w:footerReference w:type="first" r:id="rId11"/>
      <w:pgSz w:w="12240" w:h="15840"/>
      <w:pgMar w:top="1440" w:right="1584" w:bottom="126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31" w:rsidRDefault="00DB2031">
      <w:r>
        <w:separator/>
      </w:r>
    </w:p>
  </w:endnote>
  <w:endnote w:type="continuationSeparator" w:id="0">
    <w:p w:rsidR="00DB2031" w:rsidRDefault="00DB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79" w:rsidRDefault="00217D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31" w:rsidRDefault="00DB2031">
      <w:r>
        <w:separator/>
      </w:r>
    </w:p>
  </w:footnote>
  <w:footnote w:type="continuationSeparator" w:id="0">
    <w:p w:rsidR="00DB2031" w:rsidRDefault="00DB2031">
      <w:r>
        <w:continuationSeparator/>
      </w:r>
    </w:p>
  </w:footnote>
  <w:footnote w:id="1">
    <w:p w:rsidR="0047222B" w:rsidRPr="0047222B" w:rsidRDefault="0047222B">
      <w:pPr>
        <w:pStyle w:val="FootnoteText"/>
        <w:rPr>
          <w:rFonts w:ascii="Arial" w:hAnsi="Arial" w:cs="Arial"/>
        </w:rPr>
      </w:pPr>
      <w:r w:rsidRPr="0047222B">
        <w:rPr>
          <w:rStyle w:val="FootnoteReference"/>
          <w:rFonts w:ascii="Arial" w:hAnsi="Arial" w:cs="Arial"/>
        </w:rPr>
        <w:footnoteRef/>
      </w:r>
      <w:r w:rsidRPr="0047222B">
        <w:rPr>
          <w:rFonts w:ascii="Arial" w:hAnsi="Arial" w:cs="Arial"/>
        </w:rPr>
        <w:t xml:space="preserve"> </w:t>
      </w:r>
      <w:r w:rsidR="00552736">
        <w:rPr>
          <w:rFonts w:ascii="Arial" w:hAnsi="Arial" w:cs="Arial"/>
        </w:rPr>
        <w:t>P</w:t>
      </w:r>
      <w:r w:rsidRPr="0047222B">
        <w:rPr>
          <w:rFonts w:ascii="Arial" w:hAnsi="Arial" w:cs="Arial"/>
        </w:rPr>
        <w:t xml:space="preserve">age </w:t>
      </w:r>
      <w:r w:rsidR="00552736">
        <w:rPr>
          <w:rFonts w:ascii="Arial" w:hAnsi="Arial" w:cs="Arial"/>
        </w:rPr>
        <w:t>references</w:t>
      </w:r>
      <w:r w:rsidRPr="0047222B">
        <w:rPr>
          <w:rFonts w:ascii="Arial" w:hAnsi="Arial" w:cs="Arial"/>
        </w:rPr>
        <w:t xml:space="preserve"> </w:t>
      </w:r>
      <w:r w:rsidR="00552736">
        <w:rPr>
          <w:rFonts w:ascii="Arial" w:hAnsi="Arial" w:cs="Arial"/>
        </w:rPr>
        <w:t xml:space="preserve">in this staff report </w:t>
      </w:r>
      <w:r w:rsidRPr="0047222B">
        <w:rPr>
          <w:rFonts w:ascii="Arial" w:hAnsi="Arial" w:cs="Arial"/>
        </w:rPr>
        <w:t>refer to the page</w:t>
      </w:r>
      <w:r w:rsidR="006405A2">
        <w:rPr>
          <w:rFonts w:ascii="Arial" w:hAnsi="Arial" w:cs="Arial"/>
        </w:rPr>
        <w:t xml:space="preserve"> numbers</w:t>
      </w:r>
      <w:r w:rsidRPr="0047222B">
        <w:rPr>
          <w:rFonts w:ascii="Arial" w:hAnsi="Arial" w:cs="Arial"/>
        </w:rPr>
        <w:t xml:space="preserve"> of the specific attachment</w:t>
      </w:r>
      <w:r w:rsidR="006405A2">
        <w:rPr>
          <w:rFonts w:ascii="Arial" w:hAnsi="Arial" w:cs="Arial"/>
        </w:rPr>
        <w:t>, not to the page numbers of the meeting materials.</w:t>
      </w:r>
    </w:p>
  </w:footnote>
  <w:footnote w:id="2">
    <w:p w:rsidR="005E492A" w:rsidRPr="00391E46" w:rsidRDefault="005E492A" w:rsidP="005E492A">
      <w:pPr>
        <w:pStyle w:val="FootnoteText"/>
        <w:rPr>
          <w:rFonts w:ascii="Arial" w:hAnsi="Arial" w:cs="Arial"/>
        </w:rPr>
      </w:pPr>
      <w:r w:rsidRPr="00391E46">
        <w:rPr>
          <w:rStyle w:val="FootnoteReference"/>
          <w:rFonts w:ascii="Arial" w:hAnsi="Arial" w:cs="Arial"/>
        </w:rPr>
        <w:footnoteRef/>
      </w:r>
      <w:r w:rsidRPr="00391E46">
        <w:rPr>
          <w:rFonts w:ascii="Arial" w:hAnsi="Arial" w:cs="Arial"/>
        </w:rPr>
        <w:t xml:space="preserve"> </w:t>
      </w:r>
      <w:r>
        <w:rPr>
          <w:rFonts w:ascii="Arial" w:hAnsi="Arial" w:cs="Arial"/>
        </w:rPr>
        <w:t xml:space="preserve">The COLA percentages are based on the </w:t>
      </w:r>
      <w:r w:rsidR="009E5E5D">
        <w:rPr>
          <w:rFonts w:ascii="Arial" w:hAnsi="Arial" w:cs="Arial"/>
        </w:rPr>
        <w:t>Fiscal Note</w:t>
      </w:r>
      <w:r>
        <w:rPr>
          <w:rFonts w:ascii="Arial" w:hAnsi="Arial" w:cs="Arial"/>
        </w:rPr>
        <w:t xml:space="preserve"> (</w:t>
      </w:r>
      <w:r w:rsidR="003D2595">
        <w:rPr>
          <w:rFonts w:ascii="Arial" w:hAnsi="Arial" w:cs="Arial"/>
        </w:rPr>
        <w:t xml:space="preserve">Att. </w:t>
      </w:r>
      <w:r w:rsidR="009026C4">
        <w:rPr>
          <w:rFonts w:ascii="Arial" w:hAnsi="Arial" w:cs="Arial"/>
        </w:rPr>
        <w:t>5</w:t>
      </w:r>
      <w:r>
        <w:rPr>
          <w:rFonts w:ascii="Arial" w:hAnsi="Arial" w:cs="Arial"/>
        </w:rPr>
        <w:t xml:space="preserve">). The percentage listed for 2014 is </w:t>
      </w:r>
      <w:r w:rsidR="0022571E">
        <w:rPr>
          <w:rFonts w:ascii="Arial" w:hAnsi="Arial" w:cs="Arial"/>
        </w:rPr>
        <w:t xml:space="preserve">based on </w:t>
      </w:r>
      <w:r w:rsidR="00CA56F0">
        <w:rPr>
          <w:rFonts w:ascii="Arial" w:hAnsi="Arial" w:cs="Arial"/>
        </w:rPr>
        <w:t xml:space="preserve">updated information provided </w:t>
      </w:r>
      <w:r>
        <w:rPr>
          <w:rFonts w:ascii="Arial" w:hAnsi="Arial" w:cs="Arial"/>
        </w:rPr>
        <w:t>by the County’s Office of Economic and Financial Analysis.</w:t>
      </w:r>
    </w:p>
  </w:footnote>
  <w:footnote w:id="3">
    <w:p w:rsidR="00B9400A" w:rsidRPr="001A778C" w:rsidRDefault="00B9400A" w:rsidP="00B9400A">
      <w:pPr>
        <w:pStyle w:val="FootnoteText"/>
        <w:rPr>
          <w:rFonts w:ascii="Arial" w:hAnsi="Arial" w:cs="Arial"/>
        </w:rPr>
      </w:pPr>
      <w:r w:rsidRPr="001A778C">
        <w:rPr>
          <w:rStyle w:val="FootnoteReference"/>
          <w:rFonts w:ascii="Arial" w:hAnsi="Arial" w:cs="Arial"/>
        </w:rPr>
        <w:footnoteRef/>
      </w:r>
      <w:r w:rsidRPr="001A778C">
        <w:rPr>
          <w:rFonts w:ascii="Arial" w:hAnsi="Arial" w:cs="Arial"/>
        </w:rPr>
        <w:t xml:space="preserve"> </w:t>
      </w:r>
      <w:r>
        <w:rPr>
          <w:rFonts w:ascii="Arial" w:hAnsi="Arial" w:cs="Arial"/>
        </w:rPr>
        <w:t>More specifically: “</w:t>
      </w:r>
      <w:r w:rsidRPr="002531CC">
        <w:rPr>
          <w:rFonts w:ascii="Arial" w:hAnsi="Arial" w:cs="Arial"/>
        </w:rPr>
        <w:t>the annual average growth rate of the bi-monthly Seattle-Tacoma-Bremerton Area Consumer Price index for Urban Wage Earners and Clerical Workers (CPI-W, July of the previous year to June of the current year)</w:t>
      </w:r>
      <w:r>
        <w:rPr>
          <w:rFonts w:ascii="Arial" w:hAnsi="Arial" w:cs="Arial"/>
        </w:rPr>
        <w:t>.”</w:t>
      </w:r>
    </w:p>
  </w:footnote>
  <w:footnote w:id="4">
    <w:p w:rsidR="00CA56F0" w:rsidRPr="00CA56F0" w:rsidRDefault="00CA56F0">
      <w:pPr>
        <w:pStyle w:val="FootnoteText"/>
        <w:rPr>
          <w:rFonts w:ascii="Arial" w:hAnsi="Arial" w:cs="Arial"/>
        </w:rPr>
      </w:pPr>
      <w:r w:rsidRPr="00CA56F0">
        <w:rPr>
          <w:rStyle w:val="FootnoteReference"/>
          <w:rFonts w:ascii="Arial" w:hAnsi="Arial" w:cs="Arial"/>
        </w:rPr>
        <w:footnoteRef/>
      </w:r>
      <w:r w:rsidRPr="00CA56F0">
        <w:rPr>
          <w:rFonts w:ascii="Arial" w:hAnsi="Arial" w:cs="Arial"/>
        </w:rPr>
        <w:t xml:space="preserve"> </w:t>
      </w:r>
      <w:r w:rsidR="00094C52">
        <w:rPr>
          <w:rFonts w:ascii="Arial" w:hAnsi="Arial" w:cs="Arial"/>
        </w:rPr>
        <w:t>Those changes are in</w:t>
      </w:r>
      <w:r>
        <w:rPr>
          <w:rFonts w:ascii="Arial" w:hAnsi="Arial" w:cs="Arial"/>
        </w:rPr>
        <w:t xml:space="preserve"> sections 4.3 (holidays), 5.2 (vacation use), </w:t>
      </w:r>
      <w:r w:rsidR="00094C52">
        <w:rPr>
          <w:rFonts w:ascii="Arial" w:hAnsi="Arial" w:cs="Arial"/>
        </w:rPr>
        <w:t xml:space="preserve">and </w:t>
      </w:r>
      <w:r>
        <w:rPr>
          <w:rFonts w:ascii="Arial" w:hAnsi="Arial" w:cs="Arial"/>
        </w:rPr>
        <w:t>6.2 (sick leave)</w:t>
      </w:r>
      <w:r w:rsidR="00094C52">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E71" w:rsidRDefault="00DB20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78.55pt;height:60.9pt;rotation:315;z-index:-251658752;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79" w:rsidRDefault="00676D30">
    <w:pPr>
      <w:jc w:val="center"/>
      <w:rPr>
        <w:rFonts w:ascii="Verdana" w:hAnsi="Verdana"/>
        <w:b/>
        <w:sz w:val="28"/>
        <w:szCs w:val="30"/>
      </w:rPr>
    </w:pPr>
    <w:r>
      <w:rPr>
        <w:rFonts w:ascii="Arial" w:hAnsi="Arial"/>
        <w:noProof/>
        <w:sz w:val="22"/>
        <w:szCs w:val="22"/>
        <w:lang w:eastAsia="en-US"/>
      </w:rPr>
      <w:drawing>
        <wp:inline distT="0" distB="0" distL="0" distR="0">
          <wp:extent cx="1115695" cy="7797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779780"/>
                  </a:xfrm>
                  <a:prstGeom prst="rect">
                    <a:avLst/>
                  </a:prstGeom>
                  <a:solidFill>
                    <a:srgbClr val="FFFFFF"/>
                  </a:solidFill>
                  <a:ln>
                    <a:noFill/>
                  </a:ln>
                </pic:spPr>
              </pic:pic>
            </a:graphicData>
          </a:graphic>
        </wp:inline>
      </w:drawing>
    </w:r>
  </w:p>
  <w:p w:rsidR="00217D79" w:rsidRPr="00BC457B" w:rsidRDefault="00217D79">
    <w:pPr>
      <w:spacing w:before="60"/>
      <w:jc w:val="center"/>
      <w:rPr>
        <w:rFonts w:ascii="Verdana" w:hAnsi="Verdana"/>
        <w:b/>
        <w:sz w:val="26"/>
        <w:szCs w:val="30"/>
      </w:rPr>
    </w:pPr>
    <w:r w:rsidRPr="00BC457B">
      <w:rPr>
        <w:rFonts w:ascii="Verdana" w:hAnsi="Verdana"/>
        <w:b/>
        <w:sz w:val="26"/>
        <w:szCs w:val="30"/>
      </w:rPr>
      <w:t>Metropolitan King County Council</w:t>
    </w:r>
  </w:p>
  <w:p w:rsidR="00217D79" w:rsidRPr="00795DDF" w:rsidRDefault="00BF381F">
    <w:pPr>
      <w:jc w:val="center"/>
      <w:rPr>
        <w:rFonts w:ascii="Verdana" w:hAnsi="Verdana"/>
        <w:b/>
        <w:szCs w:val="30"/>
      </w:rPr>
    </w:pPr>
    <w:r>
      <w:rPr>
        <w:rFonts w:ascii="Verdana" w:hAnsi="Verdana"/>
        <w:b/>
        <w:szCs w:val="30"/>
      </w:rPr>
      <w:t>Committee</w:t>
    </w:r>
    <w:r w:rsidR="00B321D8">
      <w:rPr>
        <w:rFonts w:ascii="Verdana" w:hAnsi="Verdana"/>
        <w:b/>
        <w:szCs w:val="30"/>
      </w:rPr>
      <w:t xml:space="preserve"> of the Whole</w:t>
    </w:r>
  </w:p>
  <w:p w:rsidR="00217D79" w:rsidRPr="00BE5727" w:rsidRDefault="00217D79">
    <w:pPr>
      <w:spacing w:before="240"/>
      <w:jc w:val="center"/>
      <w:rPr>
        <w:rFonts w:ascii="Verdana" w:hAnsi="Verdana"/>
        <w:b/>
      </w:rPr>
    </w:pPr>
    <w:r w:rsidRPr="00BE5727">
      <w:rPr>
        <w:rFonts w:ascii="Verdana" w:hAnsi="Verdana"/>
        <w:b/>
      </w:rPr>
      <w:t>STAFF REPORT</w:t>
    </w:r>
  </w:p>
  <w:p w:rsidR="00217D79" w:rsidRDefault="00217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FD9"/>
    <w:multiLevelType w:val="multilevel"/>
    <w:tmpl w:val="7956789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2D43D8D"/>
    <w:multiLevelType w:val="hybridMultilevel"/>
    <w:tmpl w:val="1A7EB01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2D7E3E"/>
    <w:multiLevelType w:val="hybridMultilevel"/>
    <w:tmpl w:val="F6C8F552"/>
    <w:lvl w:ilvl="0" w:tplc="F8862DF8">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684CBA5E">
      <w:start w:val="1"/>
      <w:numFmt w:val="decimal"/>
      <w:lvlText w:val="(%3)"/>
      <w:lvlJc w:val="left"/>
      <w:pPr>
        <w:ind w:left="2700" w:hanging="360"/>
      </w:pPr>
      <w:rPr>
        <w:rFonts w:hint="default"/>
      </w:r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
    <w:nsid w:val="0E8B150B"/>
    <w:multiLevelType w:val="hybridMultilevel"/>
    <w:tmpl w:val="CAA25544"/>
    <w:lvl w:ilvl="0" w:tplc="F8862DF8">
      <w:start w:val="1"/>
      <w:numFmt w:val="decimal"/>
      <w:lvlText w:val="%1."/>
      <w:lvlJc w:val="left"/>
      <w:pPr>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4">
    <w:nsid w:val="0F1135C3"/>
    <w:multiLevelType w:val="hybridMultilevel"/>
    <w:tmpl w:val="A4D626D0"/>
    <w:lvl w:ilvl="0" w:tplc="00150409">
      <w:start w:val="1"/>
      <w:numFmt w:val="upperLetter"/>
      <w:lvlText w:val="%1."/>
      <w:lvlJc w:val="left"/>
      <w:pPr>
        <w:ind w:left="720" w:hanging="360"/>
      </w:pPr>
      <w:rPr>
        <w:rFonts w:hint="default"/>
      </w:rPr>
    </w:lvl>
    <w:lvl w:ilvl="1" w:tplc="F8862DF8">
      <w:start w:val="1"/>
      <w:numFmt w:val="decimal"/>
      <w:lvlText w:val="%2."/>
      <w:lvlJc w:val="left"/>
      <w:pPr>
        <w:ind w:left="1440" w:hanging="360"/>
      </w:pPr>
      <w:rPr>
        <w:rFonts w:hint="default"/>
      </w:r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8D31C66"/>
    <w:multiLevelType w:val="multilevel"/>
    <w:tmpl w:val="CAA25544"/>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AB721F3"/>
    <w:multiLevelType w:val="hybridMultilevel"/>
    <w:tmpl w:val="2660BBC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7">
    <w:nsid w:val="1EE315F9"/>
    <w:multiLevelType w:val="hybridMultilevel"/>
    <w:tmpl w:val="095C88B0"/>
    <w:lvl w:ilvl="0" w:tplc="F8862DF8">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684CBA5E">
      <w:start w:val="1"/>
      <w:numFmt w:val="decimal"/>
      <w:lvlText w:val="(%3)"/>
      <w:lvlJc w:val="left"/>
      <w:pPr>
        <w:ind w:left="2700" w:hanging="360"/>
      </w:pPr>
      <w:rPr>
        <w:rFonts w:hint="default"/>
      </w:r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8">
    <w:nsid w:val="249A65B5"/>
    <w:multiLevelType w:val="hybridMultilevel"/>
    <w:tmpl w:val="2DA80786"/>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9">
    <w:nsid w:val="253809C8"/>
    <w:multiLevelType w:val="hybridMultilevel"/>
    <w:tmpl w:val="6EA674A8"/>
    <w:lvl w:ilvl="0" w:tplc="C46C1B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E16B46"/>
    <w:multiLevelType w:val="hybridMultilevel"/>
    <w:tmpl w:val="3A706B4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1">
    <w:nsid w:val="272D327C"/>
    <w:multiLevelType w:val="hybridMultilevel"/>
    <w:tmpl w:val="6AD29CFC"/>
    <w:lvl w:ilvl="0" w:tplc="F8862DF8">
      <w:start w:val="1"/>
      <w:numFmt w:val="decimal"/>
      <w:lvlText w:val="%1."/>
      <w:lvlJc w:val="left"/>
      <w:pPr>
        <w:ind w:left="1080" w:hanging="3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2">
    <w:nsid w:val="2F267662"/>
    <w:multiLevelType w:val="hybridMultilevel"/>
    <w:tmpl w:val="B0646826"/>
    <w:lvl w:ilvl="0" w:tplc="F8862DF8">
      <w:start w:val="1"/>
      <w:numFmt w:val="decimal"/>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9B7474"/>
    <w:multiLevelType w:val="multilevel"/>
    <w:tmpl w:val="7158B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DD4E73"/>
    <w:multiLevelType w:val="hybridMultilevel"/>
    <w:tmpl w:val="9E743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2C5FF1"/>
    <w:multiLevelType w:val="multilevel"/>
    <w:tmpl w:val="811ECB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853305"/>
    <w:multiLevelType w:val="hybridMultilevel"/>
    <w:tmpl w:val="127C9182"/>
    <w:lvl w:ilvl="0" w:tplc="00190409">
      <w:start w:val="1"/>
      <w:numFmt w:val="lowerLetter"/>
      <w:lvlText w:val="%1."/>
      <w:lvlJc w:val="left"/>
      <w:pPr>
        <w:ind w:left="144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347356AA"/>
    <w:multiLevelType w:val="hybridMultilevel"/>
    <w:tmpl w:val="EAB260C0"/>
    <w:lvl w:ilvl="0" w:tplc="F8862DF8">
      <w:start w:val="1"/>
      <w:numFmt w:val="decimal"/>
      <w:lvlText w:val="%1."/>
      <w:lvlJc w:val="left"/>
      <w:pPr>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8">
    <w:nsid w:val="35024705"/>
    <w:multiLevelType w:val="hybridMultilevel"/>
    <w:tmpl w:val="55AC0EAC"/>
    <w:lvl w:ilvl="0" w:tplc="F8862DF8">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684CBA5E">
      <w:start w:val="1"/>
      <w:numFmt w:val="decimal"/>
      <w:lvlText w:val="(%3)"/>
      <w:lvlJc w:val="left"/>
      <w:pPr>
        <w:ind w:left="2700" w:hanging="360"/>
      </w:pPr>
      <w:rPr>
        <w:rFonts w:hint="default"/>
      </w:r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9">
    <w:nsid w:val="375D1D5D"/>
    <w:multiLevelType w:val="multilevel"/>
    <w:tmpl w:val="CAA25544"/>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77372A6"/>
    <w:multiLevelType w:val="hybridMultilevel"/>
    <w:tmpl w:val="2DD23CC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1">
    <w:nsid w:val="381E0C08"/>
    <w:multiLevelType w:val="hybridMultilevel"/>
    <w:tmpl w:val="B11C021E"/>
    <w:lvl w:ilvl="0" w:tplc="C46C1B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02616D"/>
    <w:multiLevelType w:val="multilevel"/>
    <w:tmpl w:val="CAA25544"/>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3F795759"/>
    <w:multiLevelType w:val="hybridMultilevel"/>
    <w:tmpl w:val="095C88B0"/>
    <w:lvl w:ilvl="0" w:tplc="F8862DF8">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684CBA5E">
      <w:start w:val="1"/>
      <w:numFmt w:val="decimal"/>
      <w:lvlText w:val="(%3)"/>
      <w:lvlJc w:val="left"/>
      <w:pPr>
        <w:ind w:left="2700" w:hanging="360"/>
      </w:pPr>
      <w:rPr>
        <w:rFonts w:hint="default"/>
      </w:r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24">
    <w:nsid w:val="42481004"/>
    <w:multiLevelType w:val="multilevel"/>
    <w:tmpl w:val="CAA25544"/>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59652A7"/>
    <w:multiLevelType w:val="hybridMultilevel"/>
    <w:tmpl w:val="811ECB8C"/>
    <w:lvl w:ilvl="0" w:tplc="C46C1B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4635A4"/>
    <w:multiLevelType w:val="hybridMultilevel"/>
    <w:tmpl w:val="2452BC68"/>
    <w:lvl w:ilvl="0" w:tplc="1624C0EE">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7">
    <w:nsid w:val="4B3037FD"/>
    <w:multiLevelType w:val="hybridMultilevel"/>
    <w:tmpl w:val="4854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7CD1100"/>
    <w:multiLevelType w:val="hybridMultilevel"/>
    <w:tmpl w:val="2D9652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EEF395A"/>
    <w:multiLevelType w:val="hybridMultilevel"/>
    <w:tmpl w:val="FDB24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00620C7"/>
    <w:multiLevelType w:val="multilevel"/>
    <w:tmpl w:val="467EA58C"/>
    <w:lvl w:ilvl="0">
      <w:start w:val="1"/>
      <w:numFmt w:val="lowerLetter"/>
      <w:lvlText w:val="%1."/>
      <w:lvlJc w:val="right"/>
      <w:pPr>
        <w:tabs>
          <w:tab w:val="num" w:pos="540"/>
        </w:tabs>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5E4A46"/>
    <w:multiLevelType w:val="multilevel"/>
    <w:tmpl w:val="A4D626D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D6375D"/>
    <w:multiLevelType w:val="hybridMultilevel"/>
    <w:tmpl w:val="467EA58C"/>
    <w:lvl w:ilvl="0" w:tplc="5C125CA4">
      <w:start w:val="1"/>
      <w:numFmt w:val="lowerLetter"/>
      <w:lvlText w:val="%1."/>
      <w:lvlJc w:val="right"/>
      <w:pPr>
        <w:tabs>
          <w:tab w:val="num" w:pos="540"/>
        </w:tabs>
        <w:ind w:left="540" w:hanging="180"/>
      </w:pPr>
      <w:rPr>
        <w:rFonts w:hint="default"/>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3">
    <w:nsid w:val="730D09CD"/>
    <w:multiLevelType w:val="multilevel"/>
    <w:tmpl w:val="6EA674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1E1EAB"/>
    <w:multiLevelType w:val="hybridMultilevel"/>
    <w:tmpl w:val="095C88B0"/>
    <w:lvl w:ilvl="0" w:tplc="F8862DF8">
      <w:start w:val="1"/>
      <w:numFmt w:val="decimal"/>
      <w:lvlText w:val="%1."/>
      <w:lvlJc w:val="left"/>
      <w:pPr>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684CBA5E">
      <w:start w:val="1"/>
      <w:numFmt w:val="decimal"/>
      <w:lvlText w:val="(%3)"/>
      <w:lvlJc w:val="left"/>
      <w:pPr>
        <w:ind w:left="2700" w:hanging="360"/>
      </w:pPr>
      <w:rPr>
        <w:rFonts w:hint="default"/>
      </w:r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5">
    <w:nsid w:val="73432B0D"/>
    <w:multiLevelType w:val="hybridMultilevel"/>
    <w:tmpl w:val="A3688058"/>
    <w:lvl w:ilvl="0" w:tplc="F8862DF8">
      <w:start w:val="1"/>
      <w:numFmt w:val="decimal"/>
      <w:lvlText w:val="%1."/>
      <w:lvlJc w:val="left"/>
      <w:pPr>
        <w:ind w:left="108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6">
    <w:nsid w:val="75BF6224"/>
    <w:multiLevelType w:val="hybridMultilevel"/>
    <w:tmpl w:val="7158B28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7">
    <w:nsid w:val="77281958"/>
    <w:multiLevelType w:val="multilevel"/>
    <w:tmpl w:val="3E6ADA92"/>
    <w:lvl w:ilvl="0">
      <w:start w:val="1"/>
      <w:numFmt w:val="lowerLetter"/>
      <w:lvlText w:val="%1."/>
      <w:lvlJc w:val="right"/>
      <w:pPr>
        <w:tabs>
          <w:tab w:val="num" w:pos="540"/>
        </w:tabs>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7C7660E"/>
    <w:multiLevelType w:val="multilevel"/>
    <w:tmpl w:val="2452BC6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8302DA5"/>
    <w:multiLevelType w:val="hybridMultilevel"/>
    <w:tmpl w:val="3E6ADA92"/>
    <w:lvl w:ilvl="0" w:tplc="5C125CA4">
      <w:start w:val="1"/>
      <w:numFmt w:val="lowerLetter"/>
      <w:lvlText w:val="%1."/>
      <w:lvlJc w:val="right"/>
      <w:pPr>
        <w:tabs>
          <w:tab w:val="num" w:pos="540"/>
        </w:tabs>
        <w:ind w:left="540" w:hanging="180"/>
      </w:pPr>
      <w:rPr>
        <w:rFonts w:hint="default"/>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0">
    <w:nsid w:val="7E0F6776"/>
    <w:multiLevelType w:val="hybridMultilevel"/>
    <w:tmpl w:val="ACFE0912"/>
    <w:lvl w:ilvl="0" w:tplc="51E884F0">
      <w:start w:val="1"/>
      <w:numFmt w:val="bullet"/>
      <w:lvlText w:val=""/>
      <w:lvlJc w:val="left"/>
      <w:pPr>
        <w:tabs>
          <w:tab w:val="num" w:pos="1800"/>
        </w:tabs>
        <w:ind w:left="1800" w:hanging="360"/>
      </w:pPr>
      <w:rPr>
        <w:rFonts w:ascii="Symbol" w:hAnsi="Symbol" w:hint="default"/>
        <w:color w:val="auto"/>
        <w:sz w:val="24"/>
        <w:szCs w:val="24"/>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9"/>
  </w:num>
  <w:num w:numId="3">
    <w:abstractNumId w:val="33"/>
  </w:num>
  <w:num w:numId="4">
    <w:abstractNumId w:val="21"/>
  </w:num>
  <w:num w:numId="5">
    <w:abstractNumId w:val="14"/>
  </w:num>
  <w:num w:numId="6">
    <w:abstractNumId w:val="20"/>
  </w:num>
  <w:num w:numId="7">
    <w:abstractNumId w:val="8"/>
  </w:num>
  <w:num w:numId="8">
    <w:abstractNumId w:val="3"/>
  </w:num>
  <w:num w:numId="9">
    <w:abstractNumId w:val="35"/>
  </w:num>
  <w:num w:numId="10">
    <w:abstractNumId w:val="4"/>
  </w:num>
  <w:num w:numId="11">
    <w:abstractNumId w:val="0"/>
  </w:num>
  <w:num w:numId="12">
    <w:abstractNumId w:val="11"/>
  </w:num>
  <w:num w:numId="13">
    <w:abstractNumId w:val="24"/>
  </w:num>
  <w:num w:numId="14">
    <w:abstractNumId w:val="22"/>
  </w:num>
  <w:num w:numId="15">
    <w:abstractNumId w:val="31"/>
  </w:num>
  <w:num w:numId="16">
    <w:abstractNumId w:val="36"/>
  </w:num>
  <w:num w:numId="17">
    <w:abstractNumId w:val="13"/>
  </w:num>
  <w:num w:numId="18">
    <w:abstractNumId w:val="26"/>
  </w:num>
  <w:num w:numId="19">
    <w:abstractNumId w:val="38"/>
  </w:num>
  <w:num w:numId="20">
    <w:abstractNumId w:val="39"/>
  </w:num>
  <w:num w:numId="21">
    <w:abstractNumId w:val="37"/>
  </w:num>
  <w:num w:numId="22">
    <w:abstractNumId w:val="32"/>
  </w:num>
  <w:num w:numId="23">
    <w:abstractNumId w:val="30"/>
  </w:num>
  <w:num w:numId="24">
    <w:abstractNumId w:val="16"/>
  </w:num>
  <w:num w:numId="25">
    <w:abstractNumId w:val="40"/>
  </w:num>
  <w:num w:numId="26">
    <w:abstractNumId w:val="19"/>
  </w:num>
  <w:num w:numId="27">
    <w:abstractNumId w:val="17"/>
  </w:num>
  <w:num w:numId="28">
    <w:abstractNumId w:val="25"/>
  </w:num>
  <w:num w:numId="29">
    <w:abstractNumId w:val="15"/>
  </w:num>
  <w:num w:numId="30">
    <w:abstractNumId w:val="5"/>
  </w:num>
  <w:num w:numId="31">
    <w:abstractNumId w:val="12"/>
  </w:num>
  <w:num w:numId="32">
    <w:abstractNumId w:val="7"/>
  </w:num>
  <w:num w:numId="33">
    <w:abstractNumId w:val="18"/>
  </w:num>
  <w:num w:numId="34">
    <w:abstractNumId w:val="29"/>
  </w:num>
  <w:num w:numId="35">
    <w:abstractNumId w:val="27"/>
  </w:num>
  <w:num w:numId="36">
    <w:abstractNumId w:val="2"/>
  </w:num>
  <w:num w:numId="37">
    <w:abstractNumId w:val="34"/>
  </w:num>
  <w:num w:numId="38">
    <w:abstractNumId w:val="23"/>
  </w:num>
  <w:num w:numId="39">
    <w:abstractNumId w:val="10"/>
  </w:num>
  <w:num w:numId="40">
    <w:abstractNumId w:val="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EB"/>
    <w:rsid w:val="000034D5"/>
    <w:rsid w:val="00007598"/>
    <w:rsid w:val="000138B0"/>
    <w:rsid w:val="000333E1"/>
    <w:rsid w:val="0004082B"/>
    <w:rsid w:val="00052487"/>
    <w:rsid w:val="00061E56"/>
    <w:rsid w:val="00091B1E"/>
    <w:rsid w:val="00094C52"/>
    <w:rsid w:val="000A0AD3"/>
    <w:rsid w:val="000A6E26"/>
    <w:rsid w:val="000B72C8"/>
    <w:rsid w:val="000C3DBE"/>
    <w:rsid w:val="000C7351"/>
    <w:rsid w:val="000D0CF0"/>
    <w:rsid w:val="000F3515"/>
    <w:rsid w:val="000F6822"/>
    <w:rsid w:val="000F6AB5"/>
    <w:rsid w:val="00100738"/>
    <w:rsid w:val="00107AF1"/>
    <w:rsid w:val="00121282"/>
    <w:rsid w:val="00136040"/>
    <w:rsid w:val="001473CC"/>
    <w:rsid w:val="00152E7B"/>
    <w:rsid w:val="00182F5F"/>
    <w:rsid w:val="00191315"/>
    <w:rsid w:val="001969ED"/>
    <w:rsid w:val="001B56D1"/>
    <w:rsid w:val="001C016E"/>
    <w:rsid w:val="001C616B"/>
    <w:rsid w:val="001D124C"/>
    <w:rsid w:val="001D226B"/>
    <w:rsid w:val="001F49B5"/>
    <w:rsid w:val="0021662B"/>
    <w:rsid w:val="00217D79"/>
    <w:rsid w:val="002254EE"/>
    <w:rsid w:val="0022571E"/>
    <w:rsid w:val="002270C5"/>
    <w:rsid w:val="00234C83"/>
    <w:rsid w:val="002421DA"/>
    <w:rsid w:val="002551C9"/>
    <w:rsid w:val="00260282"/>
    <w:rsid w:val="00270166"/>
    <w:rsid w:val="0027200B"/>
    <w:rsid w:val="002909F4"/>
    <w:rsid w:val="00292A41"/>
    <w:rsid w:val="00294428"/>
    <w:rsid w:val="00295865"/>
    <w:rsid w:val="002D31D5"/>
    <w:rsid w:val="002E3485"/>
    <w:rsid w:val="002E70FB"/>
    <w:rsid w:val="002F35E3"/>
    <w:rsid w:val="00313A11"/>
    <w:rsid w:val="0032765B"/>
    <w:rsid w:val="00341660"/>
    <w:rsid w:val="00360277"/>
    <w:rsid w:val="0037087A"/>
    <w:rsid w:val="00371445"/>
    <w:rsid w:val="003B0B92"/>
    <w:rsid w:val="003B59B0"/>
    <w:rsid w:val="003D2595"/>
    <w:rsid w:val="00403E26"/>
    <w:rsid w:val="00416B4F"/>
    <w:rsid w:val="00455B76"/>
    <w:rsid w:val="004571A0"/>
    <w:rsid w:val="00462F9E"/>
    <w:rsid w:val="00465D4C"/>
    <w:rsid w:val="0047222B"/>
    <w:rsid w:val="0048481F"/>
    <w:rsid w:val="004944EF"/>
    <w:rsid w:val="00496655"/>
    <w:rsid w:val="004A6191"/>
    <w:rsid w:val="004A75AE"/>
    <w:rsid w:val="004C7887"/>
    <w:rsid w:val="004F437F"/>
    <w:rsid w:val="005116D4"/>
    <w:rsid w:val="00516B79"/>
    <w:rsid w:val="00527879"/>
    <w:rsid w:val="005330FF"/>
    <w:rsid w:val="00536312"/>
    <w:rsid w:val="00540303"/>
    <w:rsid w:val="00552736"/>
    <w:rsid w:val="005568AA"/>
    <w:rsid w:val="00562AE3"/>
    <w:rsid w:val="00566DBF"/>
    <w:rsid w:val="005A079B"/>
    <w:rsid w:val="005A52D9"/>
    <w:rsid w:val="005B4440"/>
    <w:rsid w:val="005D3538"/>
    <w:rsid w:val="005E11A3"/>
    <w:rsid w:val="005E492A"/>
    <w:rsid w:val="005E4DA5"/>
    <w:rsid w:val="005E53FD"/>
    <w:rsid w:val="005F4536"/>
    <w:rsid w:val="005F6803"/>
    <w:rsid w:val="00603058"/>
    <w:rsid w:val="006349CB"/>
    <w:rsid w:val="00637716"/>
    <w:rsid w:val="006405A2"/>
    <w:rsid w:val="0066104C"/>
    <w:rsid w:val="00676D30"/>
    <w:rsid w:val="006A3595"/>
    <w:rsid w:val="006B1490"/>
    <w:rsid w:val="006C4769"/>
    <w:rsid w:val="006D483D"/>
    <w:rsid w:val="006D5808"/>
    <w:rsid w:val="006F0253"/>
    <w:rsid w:val="006F74CC"/>
    <w:rsid w:val="007070EB"/>
    <w:rsid w:val="00707E6F"/>
    <w:rsid w:val="00720450"/>
    <w:rsid w:val="0075037F"/>
    <w:rsid w:val="00772D41"/>
    <w:rsid w:val="00774B85"/>
    <w:rsid w:val="00795B87"/>
    <w:rsid w:val="007A0C3D"/>
    <w:rsid w:val="007B6AA8"/>
    <w:rsid w:val="007C743D"/>
    <w:rsid w:val="007D0E30"/>
    <w:rsid w:val="00802961"/>
    <w:rsid w:val="00803B86"/>
    <w:rsid w:val="00811DCF"/>
    <w:rsid w:val="008306CB"/>
    <w:rsid w:val="00832E43"/>
    <w:rsid w:val="00846C10"/>
    <w:rsid w:val="008608C0"/>
    <w:rsid w:val="00867609"/>
    <w:rsid w:val="008678A4"/>
    <w:rsid w:val="0088330B"/>
    <w:rsid w:val="0088440A"/>
    <w:rsid w:val="00886FCD"/>
    <w:rsid w:val="00896709"/>
    <w:rsid w:val="008A6B28"/>
    <w:rsid w:val="008B19C8"/>
    <w:rsid w:val="008B21B6"/>
    <w:rsid w:val="008B4BEF"/>
    <w:rsid w:val="008B6B86"/>
    <w:rsid w:val="008C4D84"/>
    <w:rsid w:val="008C73C3"/>
    <w:rsid w:val="008D3E71"/>
    <w:rsid w:val="008D44F2"/>
    <w:rsid w:val="009026C4"/>
    <w:rsid w:val="00944343"/>
    <w:rsid w:val="00956F75"/>
    <w:rsid w:val="009746C8"/>
    <w:rsid w:val="00994C2C"/>
    <w:rsid w:val="009A67BC"/>
    <w:rsid w:val="009A6913"/>
    <w:rsid w:val="009B247A"/>
    <w:rsid w:val="009E1623"/>
    <w:rsid w:val="009E560D"/>
    <w:rsid w:val="009E5E5D"/>
    <w:rsid w:val="009E67D5"/>
    <w:rsid w:val="00A05FF6"/>
    <w:rsid w:val="00A115F1"/>
    <w:rsid w:val="00A2431C"/>
    <w:rsid w:val="00A24D4B"/>
    <w:rsid w:val="00A8796D"/>
    <w:rsid w:val="00A94F7F"/>
    <w:rsid w:val="00AB7D45"/>
    <w:rsid w:val="00AC0CDB"/>
    <w:rsid w:val="00B10795"/>
    <w:rsid w:val="00B206A9"/>
    <w:rsid w:val="00B321D8"/>
    <w:rsid w:val="00B5366A"/>
    <w:rsid w:val="00B62CAC"/>
    <w:rsid w:val="00B65DE2"/>
    <w:rsid w:val="00B72402"/>
    <w:rsid w:val="00B9400A"/>
    <w:rsid w:val="00B95293"/>
    <w:rsid w:val="00BA34F6"/>
    <w:rsid w:val="00BB3DCE"/>
    <w:rsid w:val="00BB6F52"/>
    <w:rsid w:val="00BE5727"/>
    <w:rsid w:val="00BF381F"/>
    <w:rsid w:val="00C11F3F"/>
    <w:rsid w:val="00C14A44"/>
    <w:rsid w:val="00C317D6"/>
    <w:rsid w:val="00C35E0E"/>
    <w:rsid w:val="00C370D7"/>
    <w:rsid w:val="00C617D8"/>
    <w:rsid w:val="00C64F43"/>
    <w:rsid w:val="00C95663"/>
    <w:rsid w:val="00CA0600"/>
    <w:rsid w:val="00CA56F0"/>
    <w:rsid w:val="00CB03A0"/>
    <w:rsid w:val="00CC2C91"/>
    <w:rsid w:val="00CD0B6A"/>
    <w:rsid w:val="00CE6A7E"/>
    <w:rsid w:val="00D023E2"/>
    <w:rsid w:val="00D21FF6"/>
    <w:rsid w:val="00D315F8"/>
    <w:rsid w:val="00D33ED8"/>
    <w:rsid w:val="00D3635B"/>
    <w:rsid w:val="00D45012"/>
    <w:rsid w:val="00D5335A"/>
    <w:rsid w:val="00D6119B"/>
    <w:rsid w:val="00D623B6"/>
    <w:rsid w:val="00D77586"/>
    <w:rsid w:val="00D848E5"/>
    <w:rsid w:val="00D90491"/>
    <w:rsid w:val="00D95E2E"/>
    <w:rsid w:val="00DB2031"/>
    <w:rsid w:val="00DC13D3"/>
    <w:rsid w:val="00DD5325"/>
    <w:rsid w:val="00E0045D"/>
    <w:rsid w:val="00E05634"/>
    <w:rsid w:val="00E213E0"/>
    <w:rsid w:val="00E2358A"/>
    <w:rsid w:val="00E24E00"/>
    <w:rsid w:val="00E2614D"/>
    <w:rsid w:val="00E32317"/>
    <w:rsid w:val="00E44D79"/>
    <w:rsid w:val="00E66C95"/>
    <w:rsid w:val="00E86554"/>
    <w:rsid w:val="00E93664"/>
    <w:rsid w:val="00EA2B23"/>
    <w:rsid w:val="00EA4615"/>
    <w:rsid w:val="00EC4EDE"/>
    <w:rsid w:val="00ED758D"/>
    <w:rsid w:val="00F51D00"/>
    <w:rsid w:val="00F6044D"/>
    <w:rsid w:val="00F64B3F"/>
    <w:rsid w:val="00F67F5C"/>
    <w:rsid w:val="00F81EA5"/>
    <w:rsid w:val="00F8794E"/>
    <w:rsid w:val="00FA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b/>
    </w:rPr>
  </w:style>
  <w:style w:type="character" w:styleId="PageNumber">
    <w:name w:val="page numbe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Verdana" w:eastAsia="MS Mincho" w:hAnsi="Verdana" w:cs="Tahoma"/>
      <w:sz w:val="22"/>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ascii="Verdana" w:hAnsi="Verdana" w:cs="Tahoma"/>
      <w:i/>
      <w:iCs/>
      <w:sz w:val="20"/>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FootnoteText">
    <w:name w:val="footnote text"/>
    <w:basedOn w:val="Normal"/>
    <w:link w:val="FootnoteTextCha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rsid w:val="00C9137B"/>
    <w:rPr>
      <w:color w:val="800080"/>
      <w:u w:val="single"/>
    </w:rPr>
  </w:style>
  <w:style w:type="character" w:styleId="FootnoteReference">
    <w:name w:val="footnote reference"/>
    <w:unhideWhenUsed/>
    <w:rsid w:val="00CD7443"/>
    <w:rPr>
      <w:vertAlign w:val="superscript"/>
    </w:rPr>
  </w:style>
  <w:style w:type="paragraph" w:styleId="BodyText3">
    <w:name w:val="Body Text 3"/>
    <w:basedOn w:val="Normal"/>
    <w:rsid w:val="00292EAB"/>
    <w:pPr>
      <w:spacing w:after="120"/>
    </w:pPr>
    <w:rPr>
      <w:sz w:val="16"/>
      <w:szCs w:val="16"/>
    </w:rPr>
  </w:style>
  <w:style w:type="table" w:styleId="TableGrid">
    <w:name w:val="Table Grid"/>
    <w:basedOn w:val="TableNormal"/>
    <w:uiPriority w:val="59"/>
    <w:rsid w:val="007F77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link w:val="FootnoteText"/>
    <w:rsid w:val="004C7887"/>
    <w:rPr>
      <w:lang w:eastAsia="ar-SA"/>
    </w:rPr>
  </w:style>
  <w:style w:type="character" w:customStyle="1" w:styleId="BodyTextChar">
    <w:name w:val="Body Text Char"/>
    <w:link w:val="BodyText"/>
    <w:rsid w:val="004C7887"/>
    <w:rPr>
      <w:sz w:val="24"/>
      <w:szCs w:val="24"/>
      <w:lang w:eastAsia="ar-SA"/>
    </w:rPr>
  </w:style>
  <w:style w:type="paragraph" w:styleId="ListParagraph">
    <w:name w:val="List Paragraph"/>
    <w:basedOn w:val="Normal"/>
    <w:uiPriority w:val="34"/>
    <w:qFormat/>
    <w:rsid w:val="00D61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b/>
    </w:rPr>
  </w:style>
  <w:style w:type="character" w:styleId="PageNumber">
    <w:name w:val="page numbe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Verdana" w:eastAsia="MS Mincho" w:hAnsi="Verdana" w:cs="Tahoma"/>
      <w:sz w:val="22"/>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ascii="Verdana" w:hAnsi="Verdana" w:cs="Tahoma"/>
      <w:i/>
      <w:iCs/>
      <w:sz w:val="20"/>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FootnoteText">
    <w:name w:val="footnote text"/>
    <w:basedOn w:val="Normal"/>
    <w:link w:val="FootnoteTextCha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rsid w:val="00C9137B"/>
    <w:rPr>
      <w:color w:val="800080"/>
      <w:u w:val="single"/>
    </w:rPr>
  </w:style>
  <w:style w:type="character" w:styleId="FootnoteReference">
    <w:name w:val="footnote reference"/>
    <w:unhideWhenUsed/>
    <w:rsid w:val="00CD7443"/>
    <w:rPr>
      <w:vertAlign w:val="superscript"/>
    </w:rPr>
  </w:style>
  <w:style w:type="paragraph" w:styleId="BodyText3">
    <w:name w:val="Body Text 3"/>
    <w:basedOn w:val="Normal"/>
    <w:rsid w:val="00292EAB"/>
    <w:pPr>
      <w:spacing w:after="120"/>
    </w:pPr>
    <w:rPr>
      <w:sz w:val="16"/>
      <w:szCs w:val="16"/>
    </w:rPr>
  </w:style>
  <w:style w:type="table" w:styleId="TableGrid">
    <w:name w:val="Table Grid"/>
    <w:basedOn w:val="TableNormal"/>
    <w:uiPriority w:val="59"/>
    <w:rsid w:val="007F77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link w:val="FootnoteText"/>
    <w:rsid w:val="004C7887"/>
    <w:rPr>
      <w:lang w:eastAsia="ar-SA"/>
    </w:rPr>
  </w:style>
  <w:style w:type="character" w:customStyle="1" w:styleId="BodyTextChar">
    <w:name w:val="Body Text Char"/>
    <w:link w:val="BodyText"/>
    <w:rsid w:val="004C7887"/>
    <w:rPr>
      <w:sz w:val="24"/>
      <w:szCs w:val="24"/>
      <w:lang w:eastAsia="ar-SA"/>
    </w:rPr>
  </w:style>
  <w:style w:type="paragraph" w:styleId="ListParagraph">
    <w:name w:val="List Paragraph"/>
    <w:basedOn w:val="Normal"/>
    <w:uiPriority w:val="34"/>
    <w:qFormat/>
    <w:rsid w:val="00D61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8530">
      <w:bodyDiv w:val="1"/>
      <w:marLeft w:val="0"/>
      <w:marRight w:val="0"/>
      <w:marTop w:val="0"/>
      <w:marBottom w:val="0"/>
      <w:divBdr>
        <w:top w:val="none" w:sz="0" w:space="0" w:color="auto"/>
        <w:left w:val="none" w:sz="0" w:space="0" w:color="auto"/>
        <w:bottom w:val="none" w:sz="0" w:space="0" w:color="auto"/>
        <w:right w:val="none" w:sz="0" w:space="0" w:color="auto"/>
      </w:divBdr>
    </w:div>
    <w:div w:id="338460344">
      <w:bodyDiv w:val="1"/>
      <w:marLeft w:val="0"/>
      <w:marRight w:val="0"/>
      <w:marTop w:val="0"/>
      <w:marBottom w:val="0"/>
      <w:divBdr>
        <w:top w:val="none" w:sz="0" w:space="0" w:color="auto"/>
        <w:left w:val="none" w:sz="0" w:space="0" w:color="auto"/>
        <w:bottom w:val="none" w:sz="0" w:space="0" w:color="auto"/>
        <w:right w:val="none" w:sz="0" w:space="0" w:color="auto"/>
      </w:divBdr>
    </w:div>
    <w:div w:id="393478186">
      <w:bodyDiv w:val="1"/>
      <w:marLeft w:val="0"/>
      <w:marRight w:val="0"/>
      <w:marTop w:val="0"/>
      <w:marBottom w:val="0"/>
      <w:divBdr>
        <w:top w:val="none" w:sz="0" w:space="0" w:color="auto"/>
        <w:left w:val="none" w:sz="0" w:space="0" w:color="auto"/>
        <w:bottom w:val="none" w:sz="0" w:space="0" w:color="auto"/>
        <w:right w:val="none" w:sz="0" w:space="0" w:color="auto"/>
      </w:divBdr>
    </w:div>
    <w:div w:id="1052969300">
      <w:bodyDiv w:val="1"/>
      <w:marLeft w:val="0"/>
      <w:marRight w:val="0"/>
      <w:marTop w:val="0"/>
      <w:marBottom w:val="0"/>
      <w:divBdr>
        <w:top w:val="none" w:sz="0" w:space="0" w:color="auto"/>
        <w:left w:val="none" w:sz="0" w:space="0" w:color="auto"/>
        <w:bottom w:val="none" w:sz="0" w:space="0" w:color="auto"/>
        <w:right w:val="none" w:sz="0" w:space="0" w:color="auto"/>
      </w:divBdr>
    </w:div>
    <w:div w:id="1223559628">
      <w:bodyDiv w:val="1"/>
      <w:marLeft w:val="0"/>
      <w:marRight w:val="0"/>
      <w:marTop w:val="0"/>
      <w:marBottom w:val="0"/>
      <w:divBdr>
        <w:top w:val="none" w:sz="0" w:space="0" w:color="auto"/>
        <w:left w:val="none" w:sz="0" w:space="0" w:color="auto"/>
        <w:bottom w:val="none" w:sz="0" w:space="0" w:color="auto"/>
        <w:right w:val="none" w:sz="0" w:space="0" w:color="auto"/>
      </w:divBdr>
    </w:div>
    <w:div w:id="15572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gner\Dropbox\Key%20Docs\Templates\CBA%20staff%20report%20templates\GAO%20CBA%20staff%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0689E-4560-4CD2-826D-1239EC16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GAO CBA staff report template.dotx</Template>
  <TotalTime>1</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Nick</dc:creator>
  <cp:lastModifiedBy>Wagner, Nick</cp:lastModifiedBy>
  <cp:revision>2</cp:revision>
  <cp:lastPrinted>2013-09-25T16:36:00Z</cp:lastPrinted>
  <dcterms:created xsi:type="dcterms:W3CDTF">2013-09-25T16:37:00Z</dcterms:created>
  <dcterms:modified xsi:type="dcterms:W3CDTF">2013-09-25T16:37:00Z</dcterms:modified>
</cp:coreProperties>
</file>